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E0" w:rsidRPr="00BA0B50" w:rsidRDefault="000175E0" w:rsidP="000175E0">
      <w:bookmarkStart w:id="0" w:name="_Toc226528100"/>
      <w:r w:rsidRPr="00BA0B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 style="position:absolute;left:0;text-align:left;margin-left:-285.5pt;margin-top:291.5pt;width:673pt;height:116pt;rotation:-90;z-index:1;mso-position-horizontal-relative:margin;mso-position-vertical-relative:margin">
            <v:imagedata r:id="rId7" r:href="rId8"/>
            <v:shadow offset="1pt" offset2="-2pt"/>
            <w10:wrap type="square" anchorx="margin" anchory="margin"/>
          </v:shape>
        </w:pict>
      </w:r>
    </w:p>
    <w:p w:rsidR="000175E0" w:rsidRDefault="000175E0" w:rsidP="000175E0"/>
    <w:p w:rsidR="000175E0" w:rsidRPr="00BA0B50" w:rsidRDefault="000175E0" w:rsidP="000175E0"/>
    <w:p w:rsidR="000175E0" w:rsidRDefault="000175E0" w:rsidP="000175E0">
      <w:pPr>
        <w:rPr>
          <w:sz w:val="52"/>
          <w:szCs w:val="52"/>
        </w:rPr>
      </w:pPr>
    </w:p>
    <w:p w:rsidR="000175E0" w:rsidRDefault="000175E0" w:rsidP="000175E0"/>
    <w:p w:rsidR="000175E0" w:rsidRDefault="000175E0" w:rsidP="000175E0"/>
    <w:p w:rsidR="000175E0" w:rsidRDefault="000175E0" w:rsidP="000175E0">
      <w:pPr>
        <w:pStyle w:val="Title"/>
        <w:jc w:val="left"/>
        <w:rPr>
          <w:sz w:val="52"/>
          <w:szCs w:val="52"/>
        </w:rPr>
      </w:pPr>
      <w:bookmarkStart w:id="1" w:name="_Toc226538826"/>
      <w:bookmarkStart w:id="2" w:name="_Toc226539175"/>
      <w:bookmarkStart w:id="3" w:name="_Toc226860699"/>
      <w:bookmarkStart w:id="4" w:name="_Toc241643555"/>
      <w:bookmarkStart w:id="5" w:name="_Toc241644075"/>
      <w:bookmarkStart w:id="6" w:name="_Toc241644265"/>
      <w:bookmarkStart w:id="7" w:name="_Toc241647049"/>
      <w:bookmarkStart w:id="8" w:name="_Toc241978929"/>
      <w:bookmarkStart w:id="9" w:name="_Toc243190062"/>
      <w:bookmarkStart w:id="10" w:name="_Toc258427354"/>
      <w:bookmarkStart w:id="11" w:name="_Toc259441274"/>
      <w:bookmarkStart w:id="12" w:name="_Toc259445853"/>
      <w:bookmarkStart w:id="13" w:name="_Toc260123243"/>
      <w:bookmarkStart w:id="14" w:name="_Toc260123299"/>
      <w:bookmarkStart w:id="15" w:name="_Toc260152703"/>
      <w:bookmarkStart w:id="16" w:name="_Toc260152781"/>
      <w:bookmarkStart w:id="17" w:name="_Toc260384359"/>
      <w:bookmarkStart w:id="18" w:name="_Toc260389184"/>
      <w:bookmarkStart w:id="19" w:name="_Toc272778764"/>
      <w:bookmarkStart w:id="20" w:name="_Toc275801844"/>
      <w:bookmarkStart w:id="21" w:name="_Toc275803388"/>
      <w:bookmarkStart w:id="22" w:name="_Toc292202620"/>
      <w:r>
        <w:rPr>
          <w:sz w:val="52"/>
          <w:szCs w:val="52"/>
        </w:rPr>
        <w:t>Journal for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A0B50">
        <w:rPr>
          <w:sz w:val="52"/>
          <w:szCs w:val="52"/>
        </w:rPr>
        <w:t xml:space="preserve"> </w:t>
      </w:r>
    </w:p>
    <w:p w:rsidR="000175E0" w:rsidRPr="00BA0B50" w:rsidRDefault="000175E0" w:rsidP="000175E0">
      <w:pPr>
        <w:pStyle w:val="Title"/>
        <w:jc w:val="left"/>
        <w:rPr>
          <w:sz w:val="52"/>
          <w:szCs w:val="52"/>
        </w:rPr>
      </w:pPr>
      <w:bookmarkStart w:id="23" w:name="_Toc226538827"/>
      <w:bookmarkStart w:id="24" w:name="_Toc226539176"/>
      <w:bookmarkStart w:id="25" w:name="_Toc226860700"/>
      <w:bookmarkStart w:id="26" w:name="_Toc241643556"/>
      <w:bookmarkStart w:id="27" w:name="_Toc241647050"/>
      <w:bookmarkStart w:id="28" w:name="_Toc241978930"/>
      <w:bookmarkStart w:id="29" w:name="_Toc243190063"/>
      <w:bookmarkStart w:id="30" w:name="_Toc258427355"/>
      <w:bookmarkStart w:id="31" w:name="_Toc259441275"/>
      <w:bookmarkStart w:id="32" w:name="_Toc259445854"/>
      <w:bookmarkStart w:id="33" w:name="_Toc260123244"/>
      <w:bookmarkStart w:id="34" w:name="_Toc260123300"/>
      <w:bookmarkStart w:id="35" w:name="_Toc260152704"/>
      <w:bookmarkStart w:id="36" w:name="_Toc260152782"/>
      <w:bookmarkStart w:id="37" w:name="_Toc260384360"/>
      <w:bookmarkStart w:id="38" w:name="_Toc260389185"/>
      <w:bookmarkStart w:id="39" w:name="_Toc272778765"/>
      <w:bookmarkStart w:id="40" w:name="_Toc275801845"/>
      <w:bookmarkStart w:id="41" w:name="_Toc275803389"/>
      <w:bookmarkStart w:id="42" w:name="_Toc292202621"/>
      <w:r w:rsidRPr="00BA0B50">
        <w:rPr>
          <w:sz w:val="52"/>
          <w:szCs w:val="52"/>
        </w:rPr>
        <w:t>Critical Animal Studies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175E0" w:rsidRDefault="000175E0" w:rsidP="000175E0"/>
    <w:p w:rsidR="000175E0" w:rsidRDefault="000175E0" w:rsidP="000175E0"/>
    <w:p w:rsidR="000175E0" w:rsidRDefault="000175E0" w:rsidP="002719B8">
      <w:pPr>
        <w:jc w:val="left"/>
      </w:pPr>
    </w:p>
    <w:p w:rsidR="000175E0" w:rsidRPr="00D60908" w:rsidRDefault="002719B8" w:rsidP="002719B8">
      <w:pPr>
        <w:jc w:val="left"/>
        <w:rPr>
          <w:b/>
          <w:bCs/>
          <w:sz w:val="44"/>
          <w:szCs w:val="44"/>
        </w:rPr>
      </w:pPr>
      <w:r>
        <w:rPr>
          <w:b/>
          <w:bCs/>
          <w:sz w:val="44"/>
          <w:szCs w:val="44"/>
        </w:rPr>
        <w:t>Continental Philosophical Perspectives on Non-Human Animals</w:t>
      </w:r>
    </w:p>
    <w:p w:rsidR="000175E0" w:rsidRDefault="000175E0" w:rsidP="000175E0">
      <w:pPr>
        <w:rPr>
          <w:b/>
          <w:bCs/>
          <w:sz w:val="28"/>
          <w:szCs w:val="28"/>
        </w:rPr>
      </w:pPr>
    </w:p>
    <w:p w:rsidR="00523619" w:rsidRDefault="00523619" w:rsidP="00FA0133">
      <w:pPr>
        <w:ind w:left="2160"/>
        <w:rPr>
          <w:b/>
          <w:bCs/>
          <w:sz w:val="32"/>
          <w:szCs w:val="32"/>
        </w:rPr>
      </w:pPr>
    </w:p>
    <w:p w:rsidR="002719B8" w:rsidRPr="00FA0133" w:rsidRDefault="002719B8" w:rsidP="002719B8">
      <w:pPr>
        <w:ind w:left="2160"/>
        <w:rPr>
          <w:b/>
          <w:bCs/>
          <w:sz w:val="32"/>
          <w:szCs w:val="32"/>
        </w:rPr>
      </w:pPr>
      <w:r>
        <w:rPr>
          <w:b/>
          <w:bCs/>
          <w:sz w:val="32"/>
          <w:szCs w:val="32"/>
        </w:rPr>
        <w:t>Guest Editor</w:t>
      </w:r>
      <w:r w:rsidR="000175E0" w:rsidRPr="00523619">
        <w:rPr>
          <w:b/>
          <w:bCs/>
          <w:sz w:val="32"/>
          <w:szCs w:val="32"/>
        </w:rPr>
        <w:t xml:space="preserve">: </w:t>
      </w:r>
      <w:r w:rsidRPr="002719B8">
        <w:rPr>
          <w:b/>
          <w:bCs/>
          <w:sz w:val="32"/>
          <w:szCs w:val="32"/>
        </w:rPr>
        <w:t xml:space="preserve">Chloë </w:t>
      </w:r>
      <w:r>
        <w:rPr>
          <w:b/>
          <w:bCs/>
          <w:sz w:val="32"/>
          <w:szCs w:val="32"/>
        </w:rPr>
        <w:t>Taylor</w:t>
      </w:r>
    </w:p>
    <w:p w:rsidR="000175E0" w:rsidRPr="00FA0133" w:rsidRDefault="000175E0" w:rsidP="00FA0133">
      <w:pPr>
        <w:ind w:left="5760" w:firstLine="720"/>
        <w:rPr>
          <w:b/>
          <w:bCs/>
          <w:sz w:val="32"/>
          <w:szCs w:val="32"/>
        </w:rPr>
      </w:pPr>
    </w:p>
    <w:p w:rsidR="000175E0" w:rsidRDefault="000175E0" w:rsidP="000175E0"/>
    <w:p w:rsidR="000175E0" w:rsidRDefault="000175E0" w:rsidP="000175E0"/>
    <w:p w:rsidR="000175E0" w:rsidRDefault="000175E0" w:rsidP="000175E0"/>
    <w:p w:rsidR="000175E0" w:rsidRDefault="000175E0" w:rsidP="000175E0"/>
    <w:p w:rsidR="000175E0" w:rsidRDefault="000175E0" w:rsidP="000175E0">
      <w:bookmarkStart w:id="43" w:name="_Hlk226538810"/>
    </w:p>
    <w:p w:rsidR="000175E0" w:rsidRDefault="000175E0" w:rsidP="000175E0"/>
    <w:p w:rsidR="000175E0" w:rsidRDefault="000175E0" w:rsidP="000175E0">
      <w:pPr>
        <w:pStyle w:val="Editorialboard"/>
        <w:pBdr>
          <w:bottom w:val="single" w:sz="6" w:space="1" w:color="auto"/>
        </w:pBdr>
        <w:sectPr w:rsidR="000175E0" w:rsidSect="000175E0">
          <w:headerReference w:type="default" r:id="rId9"/>
          <w:footerReference w:type="default" r:id="rId10"/>
          <w:headerReference w:type="first" r:id="rId11"/>
          <w:footnotePr>
            <w:numRestart w:val="eachSect"/>
          </w:footnotePr>
          <w:pgSz w:w="11907" w:h="16839" w:code="9"/>
          <w:pgMar w:top="1440" w:right="1440" w:bottom="1440" w:left="1440" w:header="709" w:footer="709" w:gutter="0"/>
          <w:pgNumType w:start="0"/>
          <w:cols w:space="708"/>
          <w:titlePg/>
          <w:docGrid w:linePitch="360"/>
        </w:sectPr>
      </w:pPr>
      <w:bookmarkStart w:id="45" w:name="_Toc226538828"/>
      <w:bookmarkStart w:id="46" w:name="_Toc226539177"/>
      <w:bookmarkEnd w:id="43"/>
    </w:p>
    <w:p w:rsidR="000175E0" w:rsidRPr="009B3587" w:rsidRDefault="000175E0" w:rsidP="00F63083">
      <w:pPr>
        <w:pStyle w:val="Heading1"/>
      </w:pPr>
      <w:bookmarkStart w:id="47" w:name="_Toc226860701"/>
      <w:bookmarkStart w:id="48" w:name="_Toc259441276"/>
      <w:bookmarkStart w:id="49" w:name="_Toc260384361"/>
      <w:bookmarkStart w:id="50" w:name="_Toc292202622"/>
      <w:r w:rsidRPr="009B3587">
        <w:lastRenderedPageBreak/>
        <w:t>EDITORIAL BOARD</w:t>
      </w:r>
      <w:bookmarkEnd w:id="47"/>
      <w:bookmarkEnd w:id="48"/>
      <w:bookmarkEnd w:id="49"/>
      <w:bookmarkEnd w:id="50"/>
    </w:p>
    <w:p w:rsidR="00FA0133" w:rsidRDefault="00FA0133" w:rsidP="000175E0">
      <w:pPr>
        <w:pStyle w:val="Editorialboard"/>
        <w:rPr>
          <w:b/>
          <w:bCs/>
        </w:rPr>
      </w:pPr>
    </w:p>
    <w:p w:rsidR="000175E0" w:rsidRPr="003E128F" w:rsidRDefault="0064541B" w:rsidP="000175E0">
      <w:pPr>
        <w:pStyle w:val="Editorialboard"/>
        <w:rPr>
          <w:b/>
          <w:bCs/>
          <w:sz w:val="19"/>
          <w:szCs w:val="19"/>
        </w:rPr>
      </w:pPr>
      <w:r>
        <w:rPr>
          <w:b/>
          <w:bCs/>
          <w:sz w:val="19"/>
          <w:szCs w:val="19"/>
        </w:rPr>
        <w:t xml:space="preserve">Dr. </w:t>
      </w:r>
      <w:r w:rsidR="006F7D6C" w:rsidRPr="006F7D6C">
        <w:rPr>
          <w:b/>
          <w:bCs/>
          <w:sz w:val="19"/>
          <w:szCs w:val="19"/>
        </w:rPr>
        <w:t>Chloë</w:t>
      </w:r>
      <w:r w:rsidR="006F7D6C">
        <w:rPr>
          <w:b/>
          <w:bCs/>
          <w:sz w:val="19"/>
          <w:szCs w:val="19"/>
        </w:rPr>
        <w:t xml:space="preserve"> Taylor</w:t>
      </w:r>
      <w:r w:rsidR="000175E0" w:rsidRPr="003E128F">
        <w:rPr>
          <w:b/>
          <w:bCs/>
          <w:sz w:val="19"/>
          <w:szCs w:val="19"/>
        </w:rPr>
        <w:tab/>
      </w:r>
      <w:r w:rsidR="000175E0" w:rsidRPr="003E128F">
        <w:rPr>
          <w:b/>
          <w:bCs/>
          <w:sz w:val="19"/>
          <w:szCs w:val="19"/>
        </w:rPr>
        <w:tab/>
      </w:r>
      <w:r w:rsidR="000175E0" w:rsidRPr="003E128F">
        <w:rPr>
          <w:b/>
          <w:bCs/>
          <w:sz w:val="19"/>
          <w:szCs w:val="19"/>
        </w:rPr>
        <w:tab/>
      </w:r>
      <w:r w:rsidR="000175E0" w:rsidRPr="003E128F">
        <w:rPr>
          <w:b/>
          <w:bCs/>
          <w:sz w:val="19"/>
          <w:szCs w:val="19"/>
        </w:rPr>
        <w:tab/>
      </w:r>
      <w:r w:rsidR="000175E0" w:rsidRPr="003E128F">
        <w:rPr>
          <w:b/>
          <w:bCs/>
          <w:sz w:val="19"/>
          <w:szCs w:val="19"/>
        </w:rPr>
        <w:tab/>
      </w:r>
      <w:r w:rsidR="000175E0" w:rsidRPr="003E128F">
        <w:rPr>
          <w:b/>
          <w:bCs/>
          <w:sz w:val="19"/>
          <w:szCs w:val="19"/>
        </w:rPr>
        <w:tab/>
      </w:r>
      <w:r w:rsidR="000175E0" w:rsidRPr="003E128F">
        <w:rPr>
          <w:b/>
          <w:bCs/>
          <w:sz w:val="19"/>
          <w:szCs w:val="19"/>
        </w:rPr>
        <w:tab/>
      </w:r>
      <w:r w:rsidR="000175E0" w:rsidRPr="003E128F">
        <w:rPr>
          <w:b/>
          <w:bCs/>
          <w:sz w:val="19"/>
          <w:szCs w:val="19"/>
        </w:rPr>
        <w:tab/>
      </w:r>
      <w:r w:rsidR="006F7D6C">
        <w:rPr>
          <w:b/>
          <w:bCs/>
          <w:sz w:val="19"/>
          <w:szCs w:val="19"/>
        </w:rPr>
        <w:tab/>
      </w:r>
      <w:r w:rsidR="000175E0" w:rsidRPr="003E128F">
        <w:rPr>
          <w:b/>
          <w:bCs/>
          <w:sz w:val="19"/>
          <w:szCs w:val="19"/>
        </w:rPr>
        <w:t>Guest Editor</w:t>
      </w:r>
    </w:p>
    <w:p w:rsidR="006F7D6C" w:rsidRDefault="006F7D6C" w:rsidP="000175E0">
      <w:pPr>
        <w:pStyle w:val="Editorialboard"/>
        <w:rPr>
          <w:sz w:val="19"/>
          <w:szCs w:val="19"/>
        </w:rPr>
      </w:pPr>
    </w:p>
    <w:p w:rsidR="000175E0" w:rsidRPr="006F7D6C" w:rsidRDefault="00DD5281" w:rsidP="000175E0">
      <w:pPr>
        <w:pStyle w:val="Editorialboard"/>
        <w:rPr>
          <w:sz w:val="19"/>
          <w:szCs w:val="19"/>
        </w:rPr>
      </w:pPr>
      <w:hyperlink r:id="rId12" w:history="1">
        <w:r>
          <w:rPr>
            <w:rStyle w:val="Hyperlink"/>
            <w:color w:val="000099"/>
          </w:rPr>
          <w:t>chloe3@ualberta.ca</w:t>
        </w:r>
      </w:hyperlink>
    </w:p>
    <w:p w:rsidR="000175E0" w:rsidRDefault="000175E0" w:rsidP="000175E0">
      <w:pPr>
        <w:pStyle w:val="Editorialboard"/>
        <w:rPr>
          <w:b/>
          <w:bCs/>
          <w:sz w:val="19"/>
          <w:szCs w:val="19"/>
        </w:rPr>
      </w:pPr>
      <w:r>
        <w:rPr>
          <w:b/>
          <w:bCs/>
          <w:sz w:val="19"/>
          <w:szCs w:val="19"/>
        </w:rPr>
        <w:t>_____________________</w:t>
      </w:r>
      <w:r w:rsidRPr="003E128F">
        <w:rPr>
          <w:b/>
          <w:bCs/>
          <w:sz w:val="19"/>
          <w:szCs w:val="19"/>
        </w:rPr>
        <w:t>__________________________________________________________________________</w:t>
      </w:r>
    </w:p>
    <w:p w:rsidR="000175E0" w:rsidRPr="003E128F" w:rsidRDefault="000175E0" w:rsidP="000175E0">
      <w:pPr>
        <w:pStyle w:val="Editorialboard"/>
        <w:rPr>
          <w:b/>
          <w:bCs/>
          <w:sz w:val="19"/>
          <w:szCs w:val="19"/>
        </w:rPr>
      </w:pPr>
    </w:p>
    <w:p w:rsidR="000175E0" w:rsidRPr="003E128F" w:rsidRDefault="000175E0" w:rsidP="000175E0">
      <w:pPr>
        <w:pStyle w:val="Editorialboard"/>
        <w:rPr>
          <w:b/>
          <w:bCs/>
          <w:sz w:val="19"/>
          <w:szCs w:val="19"/>
        </w:rPr>
      </w:pPr>
      <w:r w:rsidRPr="003E128F">
        <w:rPr>
          <w:b/>
          <w:bCs/>
          <w:sz w:val="19"/>
          <w:szCs w:val="19"/>
        </w:rPr>
        <w:t>Dr. Richard J White</w:t>
      </w:r>
      <w:r w:rsidRPr="003E128F">
        <w:rPr>
          <w:b/>
          <w:bCs/>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b/>
          <w:bCs/>
          <w:sz w:val="19"/>
          <w:szCs w:val="19"/>
        </w:rPr>
        <w:t>Chief Editor</w:t>
      </w:r>
      <w:r w:rsidRPr="003E128F">
        <w:rPr>
          <w:b/>
          <w:bCs/>
          <w:sz w:val="19"/>
          <w:szCs w:val="19"/>
        </w:rPr>
        <w:tab/>
      </w:r>
    </w:p>
    <w:p w:rsidR="006F7D6C" w:rsidRPr="007B5FEE" w:rsidRDefault="006F7D6C" w:rsidP="000175E0">
      <w:pPr>
        <w:pStyle w:val="Editorialboard"/>
        <w:rPr>
          <w:sz w:val="19"/>
          <w:szCs w:val="19"/>
        </w:rPr>
      </w:pPr>
    </w:p>
    <w:p w:rsidR="000175E0" w:rsidRPr="003E128F" w:rsidRDefault="000175E0" w:rsidP="000175E0">
      <w:pPr>
        <w:pStyle w:val="Editorialboard"/>
        <w:rPr>
          <w:sz w:val="19"/>
          <w:szCs w:val="19"/>
          <w:lang w:val="it-IT"/>
        </w:rPr>
      </w:pPr>
      <w:hyperlink r:id="rId13" w:history="1">
        <w:r w:rsidRPr="003E128F">
          <w:rPr>
            <w:rStyle w:val="Hyperlink"/>
            <w:sz w:val="19"/>
            <w:szCs w:val="19"/>
            <w:lang w:val="it-IT"/>
          </w:rPr>
          <w:t>Richard.White@shu.ac.uk</w:t>
        </w:r>
      </w:hyperlink>
    </w:p>
    <w:p w:rsidR="000175E0" w:rsidRPr="003E128F" w:rsidRDefault="000175E0" w:rsidP="000175E0">
      <w:pPr>
        <w:pStyle w:val="Editorialboard"/>
        <w:pBdr>
          <w:bottom w:val="single" w:sz="6" w:space="1" w:color="auto"/>
        </w:pBdr>
        <w:rPr>
          <w:sz w:val="19"/>
          <w:szCs w:val="19"/>
          <w:lang w:val="it-IT"/>
        </w:rPr>
      </w:pPr>
    </w:p>
    <w:p w:rsidR="000175E0" w:rsidRPr="003E128F" w:rsidRDefault="000175E0" w:rsidP="000175E0">
      <w:pPr>
        <w:pStyle w:val="Editorialboard"/>
        <w:rPr>
          <w:sz w:val="19"/>
          <w:szCs w:val="19"/>
          <w:lang w:val="it-IT"/>
        </w:rPr>
      </w:pPr>
    </w:p>
    <w:p w:rsidR="000175E0" w:rsidRPr="003E128F" w:rsidRDefault="000175E0" w:rsidP="000175E0">
      <w:pPr>
        <w:pStyle w:val="Editorialboard"/>
        <w:rPr>
          <w:sz w:val="19"/>
          <w:szCs w:val="19"/>
          <w:lang w:val="it-IT"/>
        </w:rPr>
      </w:pPr>
      <w:r w:rsidRPr="003E128F">
        <w:rPr>
          <w:b/>
          <w:bCs/>
          <w:sz w:val="19"/>
          <w:szCs w:val="19"/>
          <w:lang w:val="it-IT"/>
        </w:rPr>
        <w:t xml:space="preserve">Dr. Nicole Pallotta </w:t>
      </w:r>
      <w:r w:rsidRPr="003E128F">
        <w:rPr>
          <w:b/>
          <w:bCs/>
          <w:sz w:val="19"/>
          <w:szCs w:val="19"/>
          <w:lang w:val="it-IT"/>
        </w:rPr>
        <w:tab/>
      </w:r>
      <w:r w:rsidRPr="003E128F">
        <w:rPr>
          <w:b/>
          <w:bCs/>
          <w:sz w:val="19"/>
          <w:szCs w:val="19"/>
          <w:lang w:val="it-IT"/>
        </w:rPr>
        <w:tab/>
      </w:r>
      <w:r w:rsidRPr="003E128F">
        <w:rPr>
          <w:b/>
          <w:bCs/>
          <w:sz w:val="19"/>
          <w:szCs w:val="19"/>
          <w:lang w:val="it-IT"/>
        </w:rPr>
        <w:tab/>
      </w:r>
      <w:r w:rsidRPr="003E128F">
        <w:rPr>
          <w:b/>
          <w:bCs/>
          <w:sz w:val="19"/>
          <w:szCs w:val="19"/>
          <w:lang w:val="it-IT"/>
        </w:rPr>
        <w:tab/>
      </w:r>
      <w:r w:rsidRPr="003E128F">
        <w:rPr>
          <w:b/>
          <w:bCs/>
          <w:sz w:val="19"/>
          <w:szCs w:val="19"/>
          <w:lang w:val="it-IT"/>
        </w:rPr>
        <w:tab/>
      </w:r>
      <w:r w:rsidRPr="003E128F">
        <w:rPr>
          <w:b/>
          <w:bCs/>
          <w:sz w:val="19"/>
          <w:szCs w:val="19"/>
          <w:lang w:val="it-IT"/>
        </w:rPr>
        <w:tab/>
      </w:r>
      <w:r w:rsidRPr="003E128F">
        <w:rPr>
          <w:b/>
          <w:bCs/>
          <w:sz w:val="19"/>
          <w:szCs w:val="19"/>
          <w:lang w:val="it-IT"/>
        </w:rPr>
        <w:tab/>
      </w:r>
      <w:r w:rsidRPr="003E128F">
        <w:rPr>
          <w:b/>
          <w:bCs/>
          <w:sz w:val="19"/>
          <w:szCs w:val="19"/>
          <w:lang w:val="it-IT"/>
        </w:rPr>
        <w:tab/>
        <w:t>Associate Editor</w:t>
      </w:r>
    </w:p>
    <w:p w:rsidR="006F7D6C" w:rsidRPr="007B5FEE" w:rsidRDefault="006F7D6C" w:rsidP="000175E0">
      <w:pPr>
        <w:pStyle w:val="Editorialboard"/>
        <w:pBdr>
          <w:bottom w:val="single" w:sz="6" w:space="1" w:color="auto"/>
        </w:pBdr>
        <w:rPr>
          <w:sz w:val="19"/>
          <w:szCs w:val="19"/>
          <w:lang w:val="it-IT"/>
        </w:rPr>
      </w:pPr>
    </w:p>
    <w:p w:rsidR="000175E0" w:rsidRDefault="000175E0" w:rsidP="000175E0">
      <w:pPr>
        <w:pStyle w:val="Editorialboard"/>
        <w:pBdr>
          <w:bottom w:val="single" w:sz="6" w:space="1" w:color="auto"/>
        </w:pBdr>
        <w:rPr>
          <w:sz w:val="19"/>
          <w:szCs w:val="19"/>
        </w:rPr>
      </w:pPr>
      <w:hyperlink r:id="rId14" w:history="1">
        <w:r w:rsidRPr="003E128F">
          <w:rPr>
            <w:rStyle w:val="Hyperlink"/>
            <w:sz w:val="19"/>
            <w:szCs w:val="19"/>
          </w:rPr>
          <w:t>nrpallotta@gmail.com</w:t>
        </w:r>
      </w:hyperlink>
    </w:p>
    <w:p w:rsidR="000175E0" w:rsidRPr="003E128F" w:rsidRDefault="000175E0" w:rsidP="000175E0">
      <w:pPr>
        <w:pStyle w:val="Editorialboard"/>
        <w:pBdr>
          <w:bottom w:val="single" w:sz="6" w:space="1" w:color="auto"/>
        </w:pBdr>
        <w:rPr>
          <w:sz w:val="19"/>
          <w:szCs w:val="19"/>
        </w:rPr>
      </w:pPr>
    </w:p>
    <w:p w:rsidR="000175E0" w:rsidRDefault="000175E0" w:rsidP="000175E0">
      <w:pPr>
        <w:pStyle w:val="Editorialboard"/>
        <w:rPr>
          <w:sz w:val="19"/>
          <w:szCs w:val="19"/>
        </w:rPr>
      </w:pPr>
    </w:p>
    <w:p w:rsidR="000175E0" w:rsidRPr="003E128F" w:rsidRDefault="000175E0" w:rsidP="000175E0">
      <w:pPr>
        <w:pStyle w:val="Editorialboard"/>
        <w:rPr>
          <w:sz w:val="19"/>
          <w:szCs w:val="19"/>
        </w:rPr>
      </w:pPr>
      <w:r w:rsidRPr="003E128F">
        <w:rPr>
          <w:b/>
          <w:bCs/>
          <w:sz w:val="19"/>
          <w:szCs w:val="19"/>
        </w:rPr>
        <w:t>Lindgren Johnson</w:t>
      </w:r>
      <w:r w:rsidRPr="003E128F">
        <w:rPr>
          <w:b/>
          <w:bCs/>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t xml:space="preserve"> </w:t>
      </w:r>
      <w:r w:rsidRPr="003E128F">
        <w:rPr>
          <w:b/>
          <w:bCs/>
          <w:sz w:val="19"/>
          <w:szCs w:val="19"/>
        </w:rPr>
        <w:t>Associate Editor</w:t>
      </w:r>
    </w:p>
    <w:p w:rsidR="006F7D6C" w:rsidRPr="007B5FEE" w:rsidRDefault="006F7D6C" w:rsidP="000175E0">
      <w:pPr>
        <w:pStyle w:val="Editorialboard"/>
        <w:rPr>
          <w:sz w:val="19"/>
          <w:szCs w:val="19"/>
        </w:rPr>
      </w:pPr>
    </w:p>
    <w:p w:rsidR="000175E0" w:rsidRDefault="007B5FEE" w:rsidP="000175E0">
      <w:pPr>
        <w:pStyle w:val="Editorialboard"/>
        <w:rPr>
          <w:sz w:val="19"/>
          <w:szCs w:val="19"/>
        </w:rPr>
      </w:pPr>
      <w:hyperlink r:id="rId15" w:history="1">
        <w:r w:rsidRPr="001B1316">
          <w:rPr>
            <w:rStyle w:val="Hyperlink"/>
            <w:sz w:val="19"/>
            <w:szCs w:val="19"/>
          </w:rPr>
          <w:t>johnsonlin@mst.edu</w:t>
        </w:r>
      </w:hyperlink>
    </w:p>
    <w:p w:rsidR="000175E0" w:rsidRPr="003E128F" w:rsidRDefault="000175E0" w:rsidP="000175E0">
      <w:pPr>
        <w:pStyle w:val="Editorialboard"/>
        <w:rPr>
          <w:sz w:val="19"/>
          <w:szCs w:val="19"/>
        </w:rPr>
      </w:pPr>
      <w:r>
        <w:rPr>
          <w:sz w:val="19"/>
          <w:szCs w:val="19"/>
        </w:rPr>
        <w:t>_____</w:t>
      </w:r>
      <w:r w:rsidRPr="003E128F">
        <w:rPr>
          <w:sz w:val="19"/>
          <w:szCs w:val="19"/>
        </w:rPr>
        <w:t>__________________________________________________________________________________________</w:t>
      </w:r>
    </w:p>
    <w:p w:rsidR="000175E0" w:rsidRPr="003E128F" w:rsidRDefault="000175E0" w:rsidP="000175E0">
      <w:pPr>
        <w:pStyle w:val="Editorialboard"/>
        <w:rPr>
          <w:sz w:val="19"/>
          <w:szCs w:val="19"/>
        </w:rPr>
      </w:pPr>
    </w:p>
    <w:p w:rsidR="000175E0" w:rsidRPr="003E128F" w:rsidRDefault="000175E0" w:rsidP="000175E0">
      <w:pPr>
        <w:pStyle w:val="Editorialboard"/>
        <w:rPr>
          <w:b/>
          <w:bCs/>
          <w:sz w:val="19"/>
          <w:szCs w:val="19"/>
        </w:rPr>
      </w:pPr>
      <w:r w:rsidRPr="003E128F">
        <w:rPr>
          <w:b/>
          <w:bCs/>
          <w:sz w:val="19"/>
          <w:szCs w:val="19"/>
        </w:rPr>
        <w:t xml:space="preserve">Laura Shields  </w:t>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t>Associate Editor</w:t>
      </w:r>
    </w:p>
    <w:p w:rsidR="006F7D6C" w:rsidRPr="007B5FEE" w:rsidRDefault="006F7D6C" w:rsidP="000175E0">
      <w:pPr>
        <w:pStyle w:val="Editorialboard"/>
        <w:rPr>
          <w:sz w:val="19"/>
          <w:szCs w:val="19"/>
        </w:rPr>
      </w:pPr>
    </w:p>
    <w:p w:rsidR="000175E0" w:rsidRPr="003E128F" w:rsidRDefault="000175E0" w:rsidP="000175E0">
      <w:pPr>
        <w:pStyle w:val="Editorialboard"/>
        <w:rPr>
          <w:sz w:val="19"/>
          <w:szCs w:val="19"/>
        </w:rPr>
      </w:pPr>
      <w:hyperlink r:id="rId16" w:history="1">
        <w:r w:rsidRPr="003E128F">
          <w:rPr>
            <w:rStyle w:val="Hyperlink"/>
            <w:sz w:val="19"/>
            <w:szCs w:val="19"/>
          </w:rPr>
          <w:t>lauraashields@hotmail.com</w:t>
        </w:r>
      </w:hyperlink>
    </w:p>
    <w:p w:rsidR="000175E0" w:rsidRPr="003E128F" w:rsidRDefault="000175E0" w:rsidP="000175E0">
      <w:pPr>
        <w:pStyle w:val="Editorialboard"/>
        <w:pBdr>
          <w:bottom w:val="single" w:sz="6" w:space="1" w:color="auto"/>
        </w:pBdr>
        <w:rPr>
          <w:sz w:val="19"/>
          <w:szCs w:val="19"/>
        </w:rPr>
      </w:pPr>
    </w:p>
    <w:p w:rsidR="000175E0" w:rsidRPr="003E128F" w:rsidRDefault="000175E0" w:rsidP="000175E0">
      <w:pPr>
        <w:pStyle w:val="Editorialboard"/>
        <w:rPr>
          <w:b/>
          <w:bCs/>
          <w:sz w:val="19"/>
          <w:szCs w:val="19"/>
        </w:rPr>
      </w:pPr>
      <w:r w:rsidRPr="003E128F">
        <w:rPr>
          <w:sz w:val="19"/>
          <w:szCs w:val="19"/>
        </w:rPr>
        <w:tab/>
      </w:r>
      <w:r w:rsidRPr="003E128F">
        <w:rPr>
          <w:sz w:val="19"/>
          <w:szCs w:val="19"/>
        </w:rPr>
        <w:tab/>
      </w:r>
    </w:p>
    <w:p w:rsidR="000175E0" w:rsidRPr="003E128F" w:rsidRDefault="000175E0" w:rsidP="000175E0">
      <w:pPr>
        <w:pStyle w:val="Editorialboard"/>
        <w:rPr>
          <w:b/>
          <w:bCs/>
          <w:sz w:val="19"/>
          <w:szCs w:val="19"/>
        </w:rPr>
      </w:pPr>
      <w:r w:rsidRPr="003E128F">
        <w:rPr>
          <w:b/>
          <w:bCs/>
          <w:sz w:val="19"/>
          <w:szCs w:val="19"/>
        </w:rPr>
        <w:t>Dr. Susan Thomas</w:t>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t>Associate Editor</w:t>
      </w:r>
      <w:r w:rsidRPr="003E128F">
        <w:rPr>
          <w:b/>
          <w:bCs/>
          <w:sz w:val="19"/>
          <w:szCs w:val="19"/>
        </w:rPr>
        <w:tab/>
      </w:r>
    </w:p>
    <w:p w:rsidR="006F7D6C" w:rsidRDefault="006F7D6C" w:rsidP="000175E0">
      <w:pPr>
        <w:pStyle w:val="Editorialboard"/>
        <w:rPr>
          <w:sz w:val="19"/>
          <w:szCs w:val="19"/>
        </w:rPr>
      </w:pPr>
    </w:p>
    <w:p w:rsidR="000175E0" w:rsidRPr="003E128F" w:rsidRDefault="000175E0" w:rsidP="000175E0">
      <w:pPr>
        <w:pStyle w:val="Editorialboard"/>
        <w:rPr>
          <w:sz w:val="19"/>
          <w:szCs w:val="19"/>
        </w:rPr>
      </w:pPr>
      <w:hyperlink r:id="rId17" w:history="1">
        <w:r w:rsidRPr="003E128F">
          <w:rPr>
            <w:rStyle w:val="Hyperlink"/>
            <w:sz w:val="19"/>
            <w:szCs w:val="19"/>
          </w:rPr>
          <w:t>herapellet@aol.com</w:t>
        </w:r>
      </w:hyperlink>
    </w:p>
    <w:p w:rsidR="000175E0" w:rsidRPr="003E128F" w:rsidRDefault="000175E0" w:rsidP="000175E0">
      <w:pPr>
        <w:pStyle w:val="Editorialboard"/>
        <w:rPr>
          <w:sz w:val="19"/>
          <w:szCs w:val="19"/>
        </w:rPr>
      </w:pPr>
      <w:r w:rsidRPr="003E128F">
        <w:rPr>
          <w:sz w:val="19"/>
          <w:szCs w:val="19"/>
        </w:rPr>
        <w:t>__</w:t>
      </w:r>
      <w:r>
        <w:rPr>
          <w:sz w:val="19"/>
          <w:szCs w:val="19"/>
        </w:rPr>
        <w:t>_____</w:t>
      </w:r>
      <w:r w:rsidRPr="003E128F">
        <w:rPr>
          <w:sz w:val="19"/>
          <w:szCs w:val="19"/>
        </w:rPr>
        <w:t>________________________________________________________________________________________</w:t>
      </w:r>
    </w:p>
    <w:p w:rsidR="006F7D6C" w:rsidRDefault="006F7D6C" w:rsidP="000175E0">
      <w:pPr>
        <w:pStyle w:val="Editorialboard"/>
        <w:rPr>
          <w:b/>
          <w:bCs/>
          <w:sz w:val="19"/>
          <w:szCs w:val="19"/>
        </w:rPr>
      </w:pPr>
    </w:p>
    <w:p w:rsidR="000175E0" w:rsidRPr="003E128F" w:rsidRDefault="000175E0" w:rsidP="000175E0">
      <w:pPr>
        <w:pStyle w:val="Editorialboard"/>
        <w:rPr>
          <w:sz w:val="19"/>
          <w:szCs w:val="19"/>
        </w:rPr>
      </w:pPr>
      <w:r w:rsidRPr="003E128F">
        <w:rPr>
          <w:b/>
          <w:bCs/>
          <w:sz w:val="19"/>
          <w:szCs w:val="19"/>
        </w:rPr>
        <w:t>Dr. Richard Twine</w:t>
      </w:r>
      <w:r w:rsidRPr="003E128F">
        <w:rPr>
          <w:sz w:val="19"/>
          <w:szCs w:val="19"/>
        </w:rPr>
        <w:t xml:space="preserve"> </w:t>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sz w:val="19"/>
          <w:szCs w:val="19"/>
        </w:rPr>
        <w:tab/>
      </w:r>
      <w:r w:rsidRPr="003E128F">
        <w:rPr>
          <w:b/>
          <w:bCs/>
          <w:sz w:val="19"/>
          <w:szCs w:val="19"/>
        </w:rPr>
        <w:t>Book Review Editor</w:t>
      </w:r>
    </w:p>
    <w:p w:rsidR="006F7D6C" w:rsidRDefault="006F7D6C" w:rsidP="000175E0">
      <w:pPr>
        <w:pStyle w:val="Editorialboard"/>
        <w:rPr>
          <w:sz w:val="19"/>
          <w:szCs w:val="19"/>
        </w:rPr>
      </w:pPr>
    </w:p>
    <w:p w:rsidR="000175E0" w:rsidRPr="003E128F" w:rsidRDefault="000175E0" w:rsidP="000175E0">
      <w:pPr>
        <w:pStyle w:val="Editorialboard"/>
        <w:rPr>
          <w:sz w:val="19"/>
          <w:szCs w:val="19"/>
        </w:rPr>
      </w:pPr>
      <w:hyperlink r:id="rId18" w:history="1">
        <w:r w:rsidRPr="003E128F">
          <w:rPr>
            <w:rStyle w:val="Hyperlink"/>
            <w:sz w:val="19"/>
            <w:szCs w:val="19"/>
          </w:rPr>
          <w:t>r.twine@lancaster.ac.uk</w:t>
        </w:r>
      </w:hyperlink>
    </w:p>
    <w:p w:rsidR="000175E0" w:rsidRPr="003E128F" w:rsidRDefault="000175E0" w:rsidP="000175E0">
      <w:pPr>
        <w:pStyle w:val="Editorialboard"/>
        <w:pBdr>
          <w:bottom w:val="single" w:sz="6" w:space="1" w:color="auto"/>
        </w:pBdr>
        <w:rPr>
          <w:sz w:val="19"/>
          <w:szCs w:val="19"/>
        </w:rPr>
      </w:pPr>
    </w:p>
    <w:p w:rsidR="006F7D6C" w:rsidRDefault="006F7D6C" w:rsidP="000175E0">
      <w:pPr>
        <w:pStyle w:val="Editorialboard"/>
        <w:rPr>
          <w:b/>
          <w:bCs/>
          <w:sz w:val="19"/>
          <w:szCs w:val="19"/>
        </w:rPr>
      </w:pPr>
    </w:p>
    <w:p w:rsidR="000175E0" w:rsidRPr="003E128F" w:rsidRDefault="000175E0" w:rsidP="000175E0">
      <w:pPr>
        <w:pStyle w:val="Editorialboard"/>
        <w:rPr>
          <w:b/>
          <w:bCs/>
          <w:sz w:val="19"/>
          <w:szCs w:val="19"/>
        </w:rPr>
      </w:pPr>
      <w:r w:rsidRPr="003E128F">
        <w:rPr>
          <w:b/>
          <w:bCs/>
          <w:sz w:val="19"/>
          <w:szCs w:val="19"/>
        </w:rPr>
        <w:t xml:space="preserve">Vasile Stanescu  </w:t>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t>Book Review Editor</w:t>
      </w:r>
    </w:p>
    <w:p w:rsidR="000175E0" w:rsidRPr="003E128F" w:rsidRDefault="000175E0" w:rsidP="000175E0">
      <w:pPr>
        <w:pStyle w:val="Editorialboard"/>
        <w:rPr>
          <w:sz w:val="19"/>
          <w:szCs w:val="19"/>
        </w:rPr>
      </w:pPr>
      <w:hyperlink r:id="rId19" w:tgtFrame="_blank" w:history="1">
        <w:r w:rsidRPr="003E128F">
          <w:rPr>
            <w:rStyle w:val="Hyperlink"/>
            <w:sz w:val="19"/>
            <w:szCs w:val="19"/>
          </w:rPr>
          <w:t>vts@stanford.edu</w:t>
        </w:r>
      </w:hyperlink>
    </w:p>
    <w:p w:rsidR="000175E0" w:rsidRPr="006F7D6C" w:rsidRDefault="000175E0" w:rsidP="006F7D6C">
      <w:pPr>
        <w:pStyle w:val="Editorialboard"/>
        <w:rPr>
          <w:sz w:val="19"/>
          <w:szCs w:val="19"/>
        </w:rPr>
      </w:pPr>
      <w:r w:rsidRPr="003E128F">
        <w:rPr>
          <w:sz w:val="19"/>
          <w:szCs w:val="19"/>
        </w:rPr>
        <w:t>_</w:t>
      </w:r>
      <w:r>
        <w:rPr>
          <w:sz w:val="19"/>
          <w:szCs w:val="19"/>
        </w:rPr>
        <w:t>_____</w:t>
      </w:r>
      <w:r w:rsidRPr="003E128F">
        <w:rPr>
          <w:sz w:val="19"/>
          <w:szCs w:val="19"/>
        </w:rPr>
        <w:t>__________________________________________________________</w:t>
      </w:r>
      <w:r w:rsidR="006F7D6C">
        <w:rPr>
          <w:sz w:val="19"/>
          <w:szCs w:val="19"/>
        </w:rPr>
        <w:t>_______________________________</w:t>
      </w:r>
    </w:p>
    <w:p w:rsidR="006F7D6C" w:rsidRDefault="006F7D6C" w:rsidP="000175E0">
      <w:pPr>
        <w:pStyle w:val="Editorialboard"/>
        <w:rPr>
          <w:b/>
          <w:bCs/>
          <w:sz w:val="19"/>
          <w:szCs w:val="19"/>
        </w:rPr>
      </w:pPr>
    </w:p>
    <w:p w:rsidR="000175E0" w:rsidRPr="003E128F" w:rsidRDefault="000175E0" w:rsidP="000175E0">
      <w:pPr>
        <w:pStyle w:val="Editorialboard"/>
        <w:rPr>
          <w:b/>
          <w:bCs/>
          <w:sz w:val="19"/>
          <w:szCs w:val="19"/>
        </w:rPr>
      </w:pPr>
      <w:r w:rsidRPr="003E128F">
        <w:rPr>
          <w:b/>
          <w:bCs/>
          <w:sz w:val="19"/>
          <w:szCs w:val="19"/>
        </w:rPr>
        <w:t xml:space="preserve">Laura Shields  </w:t>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r>
      <w:r w:rsidRPr="003E128F">
        <w:rPr>
          <w:b/>
          <w:bCs/>
          <w:sz w:val="19"/>
          <w:szCs w:val="19"/>
        </w:rPr>
        <w:tab/>
        <w:t>Film Review Editor</w:t>
      </w:r>
    </w:p>
    <w:p w:rsidR="000175E0" w:rsidRPr="003E128F" w:rsidRDefault="000175E0" w:rsidP="000175E0">
      <w:pPr>
        <w:pStyle w:val="Editorialboard"/>
        <w:rPr>
          <w:sz w:val="19"/>
          <w:szCs w:val="19"/>
        </w:rPr>
      </w:pPr>
      <w:hyperlink r:id="rId20" w:history="1">
        <w:r w:rsidRPr="003E128F">
          <w:rPr>
            <w:rStyle w:val="Hyperlink"/>
            <w:sz w:val="19"/>
            <w:szCs w:val="19"/>
          </w:rPr>
          <w:t>lauraashields@hotmail.com</w:t>
        </w:r>
      </w:hyperlink>
    </w:p>
    <w:p w:rsidR="000175E0" w:rsidRPr="003E128F" w:rsidRDefault="000175E0" w:rsidP="000175E0">
      <w:pPr>
        <w:pStyle w:val="Editorialboard"/>
        <w:rPr>
          <w:sz w:val="19"/>
          <w:szCs w:val="19"/>
        </w:rPr>
      </w:pPr>
      <w:r w:rsidRPr="003E128F">
        <w:rPr>
          <w:sz w:val="19"/>
          <w:szCs w:val="19"/>
        </w:rPr>
        <w:t>_</w:t>
      </w:r>
      <w:r>
        <w:rPr>
          <w:sz w:val="19"/>
          <w:szCs w:val="19"/>
        </w:rPr>
        <w:t>______</w:t>
      </w:r>
      <w:r w:rsidRPr="003E128F">
        <w:rPr>
          <w:sz w:val="19"/>
          <w:szCs w:val="19"/>
        </w:rPr>
        <w:t>________________________________________________________________________________________</w:t>
      </w:r>
    </w:p>
    <w:p w:rsidR="000175E0" w:rsidRPr="003E128F" w:rsidRDefault="000175E0" w:rsidP="000175E0">
      <w:pPr>
        <w:pStyle w:val="Editorialboard"/>
        <w:rPr>
          <w:b/>
          <w:bCs/>
          <w:sz w:val="19"/>
          <w:szCs w:val="19"/>
        </w:rPr>
      </w:pPr>
    </w:p>
    <w:p w:rsidR="000175E0" w:rsidRPr="003E128F" w:rsidRDefault="006F7D6C" w:rsidP="000175E0">
      <w:pPr>
        <w:pStyle w:val="Editorialboard"/>
        <w:rPr>
          <w:b/>
          <w:bCs/>
          <w:sz w:val="19"/>
          <w:szCs w:val="19"/>
        </w:rPr>
      </w:pPr>
      <w:r>
        <w:rPr>
          <w:b/>
          <w:bCs/>
          <w:sz w:val="19"/>
          <w:szCs w:val="19"/>
        </w:rPr>
        <w:t>Adam Weitzenfeld</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0175E0" w:rsidRPr="003E128F">
        <w:rPr>
          <w:b/>
          <w:bCs/>
          <w:sz w:val="19"/>
          <w:szCs w:val="19"/>
        </w:rPr>
        <w:t>Film Review Editor</w:t>
      </w:r>
    </w:p>
    <w:p w:rsidR="006F7D6C" w:rsidRDefault="006F7D6C" w:rsidP="000175E0">
      <w:pPr>
        <w:pStyle w:val="Editorialboard"/>
        <w:rPr>
          <w:sz w:val="19"/>
          <w:szCs w:val="19"/>
        </w:rPr>
      </w:pPr>
    </w:p>
    <w:p w:rsidR="000175E0" w:rsidRDefault="006F7D6C" w:rsidP="000175E0">
      <w:pPr>
        <w:pStyle w:val="Editorialboard"/>
        <w:rPr>
          <w:sz w:val="19"/>
          <w:szCs w:val="19"/>
        </w:rPr>
      </w:pPr>
      <w:hyperlink r:id="rId21" w:history="1">
        <w:r w:rsidRPr="00026994">
          <w:rPr>
            <w:rStyle w:val="Hyperlink"/>
            <w:sz w:val="19"/>
            <w:szCs w:val="19"/>
          </w:rPr>
          <w:t>adam.weitzenfeld@gmail.com</w:t>
        </w:r>
      </w:hyperlink>
    </w:p>
    <w:p w:rsidR="000175E0" w:rsidRPr="003E128F" w:rsidRDefault="000175E0" w:rsidP="000175E0">
      <w:pPr>
        <w:pStyle w:val="Editorialboard"/>
        <w:rPr>
          <w:b/>
          <w:bCs/>
          <w:sz w:val="19"/>
          <w:szCs w:val="19"/>
        </w:rPr>
      </w:pPr>
      <w:r w:rsidRPr="003E128F">
        <w:rPr>
          <w:b/>
          <w:bCs/>
          <w:sz w:val="19"/>
          <w:szCs w:val="19"/>
        </w:rPr>
        <w:t>__</w:t>
      </w:r>
      <w:r>
        <w:rPr>
          <w:b/>
          <w:bCs/>
          <w:sz w:val="19"/>
          <w:szCs w:val="19"/>
        </w:rPr>
        <w:t>_____</w:t>
      </w:r>
      <w:r w:rsidRPr="003E128F">
        <w:rPr>
          <w:b/>
          <w:bCs/>
          <w:sz w:val="19"/>
          <w:szCs w:val="19"/>
        </w:rPr>
        <w:t>________________________________________________________________________________________</w:t>
      </w:r>
    </w:p>
    <w:p w:rsidR="000175E0" w:rsidRDefault="000175E0" w:rsidP="000175E0">
      <w:pPr>
        <w:pStyle w:val="Editorialboard"/>
        <w:rPr>
          <w:b/>
          <w:bCs/>
          <w:sz w:val="19"/>
          <w:szCs w:val="19"/>
        </w:rPr>
      </w:pPr>
    </w:p>
    <w:p w:rsidR="006F7D6C" w:rsidRDefault="0064541B" w:rsidP="000175E0">
      <w:pPr>
        <w:pStyle w:val="Editorialboard"/>
        <w:rPr>
          <w:b/>
          <w:bCs/>
          <w:sz w:val="19"/>
          <w:szCs w:val="19"/>
        </w:rPr>
      </w:pPr>
      <w:r>
        <w:rPr>
          <w:b/>
          <w:bCs/>
          <w:sz w:val="19"/>
          <w:szCs w:val="19"/>
        </w:rPr>
        <w:t xml:space="preserve">Dr. </w:t>
      </w:r>
      <w:r w:rsidR="009E6FC7">
        <w:rPr>
          <w:b/>
          <w:bCs/>
          <w:sz w:val="19"/>
          <w:szCs w:val="19"/>
        </w:rPr>
        <w:t>Matthew Cole</w:t>
      </w:r>
      <w:r w:rsidR="009E6FC7">
        <w:rPr>
          <w:b/>
          <w:bCs/>
          <w:sz w:val="19"/>
          <w:szCs w:val="19"/>
        </w:rPr>
        <w:tab/>
      </w:r>
      <w:r w:rsidR="009E6FC7">
        <w:rPr>
          <w:b/>
          <w:bCs/>
          <w:sz w:val="19"/>
          <w:szCs w:val="19"/>
        </w:rPr>
        <w:tab/>
      </w:r>
      <w:r w:rsidR="009E6FC7">
        <w:rPr>
          <w:b/>
          <w:bCs/>
          <w:sz w:val="19"/>
          <w:szCs w:val="19"/>
        </w:rPr>
        <w:tab/>
      </w:r>
      <w:r w:rsidR="009E6FC7">
        <w:rPr>
          <w:b/>
          <w:bCs/>
          <w:sz w:val="19"/>
          <w:szCs w:val="19"/>
        </w:rPr>
        <w:tab/>
      </w:r>
      <w:r w:rsidR="009E6FC7">
        <w:rPr>
          <w:b/>
          <w:bCs/>
          <w:sz w:val="19"/>
          <w:szCs w:val="19"/>
        </w:rPr>
        <w:tab/>
      </w:r>
      <w:r w:rsidR="009E6FC7">
        <w:rPr>
          <w:b/>
          <w:bCs/>
          <w:sz w:val="19"/>
          <w:szCs w:val="19"/>
        </w:rPr>
        <w:tab/>
      </w:r>
      <w:r w:rsidR="009E6FC7">
        <w:rPr>
          <w:b/>
          <w:bCs/>
          <w:sz w:val="19"/>
          <w:szCs w:val="19"/>
        </w:rPr>
        <w:tab/>
      </w:r>
      <w:r w:rsidR="009E6FC7">
        <w:rPr>
          <w:b/>
          <w:bCs/>
          <w:sz w:val="19"/>
          <w:szCs w:val="19"/>
        </w:rPr>
        <w:tab/>
      </w:r>
      <w:r w:rsidR="006F7D6C">
        <w:rPr>
          <w:b/>
          <w:bCs/>
          <w:sz w:val="19"/>
          <w:szCs w:val="19"/>
        </w:rPr>
        <w:t>Web Manager</w:t>
      </w:r>
    </w:p>
    <w:p w:rsidR="006F7D6C" w:rsidRDefault="006F7D6C" w:rsidP="006F7D6C">
      <w:pPr>
        <w:pStyle w:val="Editorialboard"/>
        <w:rPr>
          <w:sz w:val="19"/>
          <w:szCs w:val="19"/>
        </w:rPr>
      </w:pPr>
    </w:p>
    <w:p w:rsidR="006F7D6C" w:rsidRPr="006F7D6C" w:rsidRDefault="006F7D6C" w:rsidP="006F7D6C">
      <w:pPr>
        <w:pStyle w:val="Editorialboard"/>
        <w:rPr>
          <w:sz w:val="19"/>
          <w:szCs w:val="19"/>
        </w:rPr>
      </w:pPr>
      <w:hyperlink r:id="rId22" w:history="1">
        <w:r w:rsidRPr="006F7D6C">
          <w:rPr>
            <w:rStyle w:val="Hyperlink"/>
            <w:sz w:val="19"/>
            <w:szCs w:val="19"/>
          </w:rPr>
          <w:t>matthew.cole@vegatopia.org</w:t>
        </w:r>
      </w:hyperlink>
    </w:p>
    <w:p w:rsidR="006F7D6C" w:rsidRDefault="006F7D6C" w:rsidP="006F7D6C">
      <w:pPr>
        <w:pStyle w:val="Editorialboard"/>
        <w:rPr>
          <w:b/>
          <w:bCs/>
          <w:sz w:val="19"/>
          <w:szCs w:val="19"/>
        </w:rPr>
      </w:pPr>
      <w:r>
        <w:rPr>
          <w:b/>
          <w:bCs/>
          <w:sz w:val="19"/>
          <w:szCs w:val="19"/>
        </w:rPr>
        <w:t>_______________________________________________________________________________________________</w:t>
      </w:r>
    </w:p>
    <w:p w:rsidR="006F7D6C" w:rsidRPr="003E128F" w:rsidRDefault="006F7D6C" w:rsidP="000175E0">
      <w:pPr>
        <w:pStyle w:val="Editorialboard"/>
        <w:rPr>
          <w:b/>
          <w:bCs/>
          <w:sz w:val="19"/>
          <w:szCs w:val="19"/>
        </w:rPr>
      </w:pPr>
    </w:p>
    <w:p w:rsidR="006F7D6C" w:rsidRDefault="006F7D6C" w:rsidP="000175E0">
      <w:pPr>
        <w:pStyle w:val="Editorialboard"/>
        <w:rPr>
          <w:b/>
          <w:bCs/>
          <w:sz w:val="18"/>
          <w:szCs w:val="18"/>
        </w:rPr>
      </w:pPr>
    </w:p>
    <w:p w:rsidR="00FA0133" w:rsidRPr="0097374B" w:rsidRDefault="000175E0" w:rsidP="000175E0">
      <w:pPr>
        <w:pStyle w:val="Editorialboard"/>
        <w:rPr>
          <w:b/>
          <w:bCs/>
        </w:rPr>
      </w:pPr>
      <w:r w:rsidRPr="0097374B">
        <w:rPr>
          <w:b/>
          <w:bCs/>
        </w:rPr>
        <w:t>EDITORIAL ADVISORY BOARD</w:t>
      </w:r>
    </w:p>
    <w:p w:rsidR="0097374B" w:rsidRPr="003E128F" w:rsidRDefault="0097374B" w:rsidP="000175E0">
      <w:pPr>
        <w:pStyle w:val="Editorialboard"/>
        <w:rPr>
          <w:b/>
          <w:bCs/>
          <w:sz w:val="18"/>
          <w:szCs w:val="18"/>
        </w:rPr>
      </w:pPr>
    </w:p>
    <w:p w:rsidR="000175E0" w:rsidRPr="0097374B" w:rsidRDefault="000175E0" w:rsidP="000175E0">
      <w:pPr>
        <w:pStyle w:val="Editorialboard"/>
        <w:rPr>
          <w:b/>
          <w:bCs/>
        </w:rPr>
      </w:pPr>
      <w:r w:rsidRPr="0097374B">
        <w:t xml:space="preserve">For a complete list of the members of the Editorial Advisory Board please see the JCAS link on the Institute for Critical Animal Studies website: </w:t>
      </w:r>
      <w:hyperlink r:id="rId23" w:history="1">
        <w:r w:rsidRPr="0097374B">
          <w:rPr>
            <w:rStyle w:val="Hyperlink"/>
          </w:rPr>
          <w:t>http://www.critic</w:t>
        </w:r>
        <w:r w:rsidRPr="0097374B">
          <w:rPr>
            <w:rStyle w:val="Hyperlink"/>
          </w:rPr>
          <w:t>a</w:t>
        </w:r>
        <w:r w:rsidRPr="0097374B">
          <w:rPr>
            <w:rStyle w:val="Hyperlink"/>
          </w:rPr>
          <w:t>lanimalstudies.org/?page</w:t>
        </w:r>
        <w:r w:rsidRPr="0097374B">
          <w:rPr>
            <w:rStyle w:val="Hyperlink"/>
          </w:rPr>
          <w:t>_</w:t>
        </w:r>
        <w:r w:rsidRPr="0097374B">
          <w:rPr>
            <w:rStyle w:val="Hyperlink"/>
          </w:rPr>
          <w:t>id=393</w:t>
        </w:r>
      </w:hyperlink>
    </w:p>
    <w:p w:rsidR="000175E0" w:rsidRPr="00E024D3" w:rsidRDefault="000175E0" w:rsidP="000175E0">
      <w:pPr>
        <w:pStyle w:val="Editorialboard"/>
        <w:spacing w:line="276" w:lineRule="auto"/>
        <w:rPr>
          <w:sz w:val="18"/>
          <w:szCs w:val="18"/>
        </w:rPr>
        <w:sectPr w:rsidR="000175E0" w:rsidRPr="00E024D3" w:rsidSect="000175E0">
          <w:footnotePr>
            <w:numRestart w:val="eachSect"/>
          </w:footnotePr>
          <w:pgSz w:w="11907" w:h="16839" w:code="9"/>
          <w:pgMar w:top="1440" w:right="1440" w:bottom="1440" w:left="1440" w:header="708" w:footer="708" w:gutter="0"/>
          <w:pgNumType w:start="1"/>
          <w:cols w:space="708"/>
          <w:docGrid w:linePitch="360"/>
        </w:sectPr>
      </w:pPr>
    </w:p>
    <w:tbl>
      <w:tblPr>
        <w:tblpPr w:leftFromText="180" w:rightFromText="180" w:vertAnchor="text"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175E0">
        <w:tc>
          <w:tcPr>
            <w:tcW w:w="9242" w:type="dxa"/>
            <w:shd w:val="clear" w:color="auto" w:fill="000000"/>
          </w:tcPr>
          <w:p w:rsidR="000175E0" w:rsidRPr="004D096A" w:rsidRDefault="000175E0" w:rsidP="00F63083">
            <w:pPr>
              <w:pStyle w:val="Heading1"/>
            </w:pPr>
            <w:bookmarkStart w:id="51" w:name="_Toc226538830"/>
            <w:bookmarkStart w:id="52" w:name="_Toc226539179"/>
            <w:bookmarkStart w:id="53" w:name="_Toc226860704"/>
            <w:bookmarkStart w:id="54" w:name="_Toc241644077"/>
            <w:bookmarkStart w:id="55" w:name="_Toc241644267"/>
            <w:bookmarkStart w:id="56" w:name="_Toc241647051"/>
            <w:bookmarkStart w:id="57" w:name="_Toc241978932"/>
            <w:bookmarkStart w:id="58" w:name="_Toc243190065"/>
            <w:bookmarkStart w:id="59" w:name="_Toc258427357"/>
            <w:bookmarkStart w:id="60" w:name="_Toc259441277"/>
            <w:bookmarkStart w:id="61" w:name="_Toc259445856"/>
            <w:bookmarkStart w:id="62" w:name="_Toc260123246"/>
            <w:bookmarkStart w:id="63" w:name="_Toc260123302"/>
            <w:bookmarkStart w:id="64" w:name="_Toc260152706"/>
            <w:bookmarkStart w:id="65" w:name="_Toc260152784"/>
            <w:bookmarkStart w:id="66" w:name="_Toc260384362"/>
            <w:bookmarkStart w:id="67" w:name="_Toc260389187"/>
            <w:bookmarkStart w:id="68" w:name="_Toc272778767"/>
            <w:bookmarkStart w:id="69" w:name="_Toc275801847"/>
            <w:bookmarkStart w:id="70" w:name="_Toc275803391"/>
            <w:bookmarkStart w:id="71" w:name="_Toc292202623"/>
            <w:bookmarkEnd w:id="45"/>
            <w:bookmarkEnd w:id="46"/>
            <w:r w:rsidRPr="004D096A">
              <w:lastRenderedPageBreak/>
              <w:t xml:space="preserve">JCAS Volume </w:t>
            </w:r>
            <w:r w:rsidR="006F7D6C">
              <w:t>IX, Issue 1/2</w:t>
            </w:r>
            <w:r w:rsidRPr="004D096A">
              <w:t>, 20</w:t>
            </w:r>
            <w:bookmarkEnd w:id="51"/>
            <w:bookmarkEnd w:id="52"/>
            <w:bookmarkEnd w:id="53"/>
            <w:bookmarkEnd w:id="54"/>
            <w:bookmarkEnd w:id="55"/>
            <w:bookmarkEnd w:id="56"/>
            <w:bookmarkEnd w:id="57"/>
            <w:bookmarkEnd w:id="58"/>
            <w:r w:rsidRPr="004D096A">
              <w:t>1</w:t>
            </w:r>
            <w:bookmarkEnd w:id="59"/>
            <w:bookmarkEnd w:id="60"/>
            <w:bookmarkEnd w:id="61"/>
            <w:bookmarkEnd w:id="62"/>
            <w:bookmarkEnd w:id="63"/>
            <w:bookmarkEnd w:id="64"/>
            <w:bookmarkEnd w:id="65"/>
            <w:bookmarkEnd w:id="66"/>
            <w:bookmarkEnd w:id="67"/>
            <w:bookmarkEnd w:id="68"/>
            <w:bookmarkEnd w:id="69"/>
            <w:bookmarkEnd w:id="70"/>
            <w:r w:rsidR="006F7D6C">
              <w:t>1</w:t>
            </w:r>
            <w:bookmarkEnd w:id="71"/>
          </w:p>
        </w:tc>
      </w:tr>
      <w:bookmarkEnd w:id="0"/>
    </w:tbl>
    <w:p w:rsidR="007B5FEE" w:rsidRDefault="007B5FEE" w:rsidP="007B5FEE">
      <w:pPr>
        <w:pStyle w:val="TOC1"/>
      </w:pPr>
    </w:p>
    <w:p w:rsidR="00111B89" w:rsidRPr="007B5FEE" w:rsidRDefault="000175E0" w:rsidP="007B5FEE">
      <w:pPr>
        <w:pStyle w:val="TOC1"/>
        <w:spacing w:line="360" w:lineRule="auto"/>
        <w:rPr>
          <w:color w:val="0000FF"/>
          <w:sz w:val="24"/>
          <w:szCs w:val="24"/>
          <w:u w:val="single"/>
        </w:rPr>
      </w:pPr>
      <w:r w:rsidRPr="007B5FEE">
        <w:rPr>
          <w:sz w:val="24"/>
          <w:szCs w:val="24"/>
        </w:rPr>
        <w:fldChar w:fldCharType="begin"/>
      </w:r>
      <w:r w:rsidRPr="007B5FEE">
        <w:rPr>
          <w:sz w:val="24"/>
          <w:szCs w:val="24"/>
        </w:rPr>
        <w:instrText xml:space="preserve"> TOC \o "1-2" \h \z \u </w:instrText>
      </w:r>
      <w:r w:rsidRPr="007B5FEE">
        <w:rPr>
          <w:sz w:val="24"/>
          <w:szCs w:val="24"/>
        </w:rPr>
        <w:fldChar w:fldCharType="separate"/>
      </w:r>
      <w:hyperlink w:anchor="_Toc292202622" w:history="1">
        <w:r w:rsidR="00111B89" w:rsidRPr="007B5FEE">
          <w:rPr>
            <w:rStyle w:val="Hyperlink"/>
            <w:sz w:val="24"/>
            <w:szCs w:val="24"/>
          </w:rPr>
          <w:t>EDITORIAL BOARD</w:t>
        </w:r>
        <w:r w:rsidR="00111B89" w:rsidRPr="007B5FEE">
          <w:rPr>
            <w:webHidden/>
            <w:sz w:val="24"/>
            <w:szCs w:val="24"/>
          </w:rPr>
          <w:tab/>
        </w:r>
        <w:r w:rsidR="00111B89" w:rsidRPr="007B5FEE">
          <w:rPr>
            <w:webHidden/>
            <w:sz w:val="24"/>
            <w:szCs w:val="24"/>
          </w:rPr>
          <w:fldChar w:fldCharType="begin"/>
        </w:r>
        <w:r w:rsidR="00111B89" w:rsidRPr="007B5FEE">
          <w:rPr>
            <w:webHidden/>
            <w:sz w:val="24"/>
            <w:szCs w:val="24"/>
          </w:rPr>
          <w:instrText xml:space="preserve"> PAGEREF _Toc292202622 \h </w:instrText>
        </w:r>
        <w:r w:rsidR="00111B89" w:rsidRPr="007B5FEE">
          <w:rPr>
            <w:webHidden/>
            <w:sz w:val="24"/>
            <w:szCs w:val="24"/>
          </w:rPr>
        </w:r>
        <w:r w:rsidR="00111B89" w:rsidRPr="007B5FEE">
          <w:rPr>
            <w:webHidden/>
            <w:sz w:val="24"/>
            <w:szCs w:val="24"/>
          </w:rPr>
          <w:fldChar w:fldCharType="separate"/>
        </w:r>
        <w:r w:rsidR="00BB6F4D">
          <w:rPr>
            <w:webHidden/>
            <w:sz w:val="24"/>
            <w:szCs w:val="24"/>
          </w:rPr>
          <w:t>1</w:t>
        </w:r>
        <w:r w:rsidR="00111B89" w:rsidRPr="007B5FEE">
          <w:rPr>
            <w:webHidden/>
            <w:sz w:val="24"/>
            <w:szCs w:val="24"/>
          </w:rPr>
          <w:fldChar w:fldCharType="end"/>
        </w:r>
      </w:hyperlink>
    </w:p>
    <w:p w:rsidR="007B5FEE" w:rsidRPr="007B5FEE" w:rsidRDefault="007B5FEE" w:rsidP="007B5FEE">
      <w:pPr>
        <w:pStyle w:val="TOC1"/>
        <w:spacing w:line="360" w:lineRule="auto"/>
        <w:rPr>
          <w:rStyle w:val="Hyperlink"/>
          <w:sz w:val="24"/>
          <w:szCs w:val="24"/>
        </w:rPr>
      </w:pPr>
    </w:p>
    <w:p w:rsidR="00A01000" w:rsidRPr="007B5FEE" w:rsidRDefault="00111B89" w:rsidP="007B5FEE">
      <w:pPr>
        <w:pStyle w:val="TOC1"/>
        <w:spacing w:line="360" w:lineRule="auto"/>
        <w:rPr>
          <w:color w:val="0000FF"/>
          <w:sz w:val="24"/>
          <w:szCs w:val="24"/>
          <w:u w:val="single"/>
        </w:rPr>
      </w:pPr>
      <w:hyperlink w:anchor="_Toc292202624" w:history="1">
        <w:r w:rsidRPr="007B5FEE">
          <w:rPr>
            <w:rStyle w:val="Hyperlink"/>
            <w:sz w:val="24"/>
            <w:szCs w:val="24"/>
          </w:rPr>
          <w:t>GUEST EDITOR</w:t>
        </w:r>
        <w:r w:rsidRPr="007B5FEE">
          <w:rPr>
            <w:rStyle w:val="Hyperlink"/>
            <w:sz w:val="24"/>
            <w:szCs w:val="24"/>
          </w:rPr>
          <w:t>I</w:t>
        </w:r>
        <w:r w:rsidRPr="007B5FEE">
          <w:rPr>
            <w:rStyle w:val="Hyperlink"/>
            <w:sz w:val="24"/>
            <w:szCs w:val="24"/>
          </w:rPr>
          <w:t>AL</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_Toc292202624 \h </w:instrText>
        </w:r>
        <w:r w:rsidRPr="007B5FEE">
          <w:rPr>
            <w:webHidden/>
            <w:sz w:val="24"/>
            <w:szCs w:val="24"/>
          </w:rPr>
        </w:r>
        <w:r w:rsidRPr="007B5FEE">
          <w:rPr>
            <w:webHidden/>
            <w:sz w:val="24"/>
            <w:szCs w:val="24"/>
          </w:rPr>
          <w:fldChar w:fldCharType="separate"/>
        </w:r>
        <w:r w:rsidR="00BB6F4D">
          <w:rPr>
            <w:webHidden/>
            <w:sz w:val="24"/>
            <w:szCs w:val="24"/>
          </w:rPr>
          <w:t>4</w:t>
        </w:r>
        <w:r w:rsidRPr="007B5FEE">
          <w:rPr>
            <w:webHidden/>
            <w:sz w:val="24"/>
            <w:szCs w:val="24"/>
          </w:rPr>
          <w:fldChar w:fldCharType="end"/>
        </w:r>
      </w:hyperlink>
    </w:p>
    <w:p w:rsidR="009E3B8E" w:rsidRPr="007B5FEE" w:rsidRDefault="009E3B8E" w:rsidP="007B5FEE">
      <w:pPr>
        <w:rPr>
          <w:b/>
          <w:bCs/>
          <w:noProof/>
          <w:szCs w:val="24"/>
        </w:rPr>
      </w:pPr>
    </w:p>
    <w:p w:rsidR="007B5FEE" w:rsidRDefault="00A01000" w:rsidP="007B5FEE">
      <w:pPr>
        <w:rPr>
          <w:b/>
          <w:bCs/>
          <w:noProof/>
          <w:szCs w:val="24"/>
        </w:rPr>
      </w:pPr>
      <w:r w:rsidRPr="007B5FEE">
        <w:rPr>
          <w:b/>
          <w:bCs/>
          <w:noProof/>
          <w:szCs w:val="24"/>
        </w:rPr>
        <w:t>ESSAYS</w:t>
      </w:r>
    </w:p>
    <w:p w:rsidR="007B5FEE" w:rsidRPr="007B5FEE" w:rsidRDefault="007B5FEE" w:rsidP="007B5FEE">
      <w:pPr>
        <w:rPr>
          <w:b/>
          <w:bCs/>
          <w:noProof/>
          <w:szCs w:val="24"/>
        </w:rPr>
      </w:pPr>
    </w:p>
    <w:p w:rsidR="009E3B8E" w:rsidRPr="007B5FEE" w:rsidRDefault="00111B89" w:rsidP="007B5FEE">
      <w:pPr>
        <w:pStyle w:val="TOC1"/>
        <w:spacing w:line="360" w:lineRule="auto"/>
        <w:rPr>
          <w:rFonts w:ascii="Calibri" w:hAnsi="Calibri" w:cs="Arial"/>
          <w:sz w:val="24"/>
          <w:szCs w:val="24"/>
        </w:rPr>
      </w:pPr>
      <w:hyperlink w:anchor="_Toc292202625" w:history="1">
        <w:r w:rsidRPr="007B5FEE">
          <w:rPr>
            <w:rStyle w:val="Hyperlink"/>
            <w:sz w:val="24"/>
            <w:szCs w:val="24"/>
          </w:rPr>
          <w:t>Painting the Prehuman: Bataille, Merleau-Ponty, and the Aesthetic Origins of Humanity</w:t>
        </w:r>
      </w:hyperlink>
    </w:p>
    <w:p w:rsidR="00111B89" w:rsidRPr="007B5FEE" w:rsidRDefault="00111B89" w:rsidP="007B5FEE">
      <w:pPr>
        <w:pStyle w:val="TOC1"/>
        <w:spacing w:line="360" w:lineRule="auto"/>
        <w:rPr>
          <w:rStyle w:val="Hyperlink"/>
          <w:rFonts w:ascii="Calibri" w:hAnsi="Calibri" w:cs="Arial"/>
          <w:b w:val="0"/>
          <w:color w:val="auto"/>
          <w:sz w:val="24"/>
          <w:szCs w:val="24"/>
          <w:u w:val="none"/>
        </w:rPr>
      </w:pPr>
      <w:hyperlink w:anchor="_Toc292202626" w:history="1">
        <w:r w:rsidRPr="007B5FEE">
          <w:rPr>
            <w:rStyle w:val="Hyperlink"/>
            <w:b w:val="0"/>
            <w:bCs/>
            <w:i/>
            <w:iCs/>
            <w:sz w:val="24"/>
            <w:szCs w:val="24"/>
          </w:rPr>
          <w:t>Brett Buchanan</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_Toc292202626 \h </w:instrText>
        </w:r>
        <w:r w:rsidRPr="007B5FEE">
          <w:rPr>
            <w:webHidden/>
            <w:sz w:val="24"/>
            <w:szCs w:val="24"/>
          </w:rPr>
        </w:r>
        <w:r w:rsidRPr="007B5FEE">
          <w:rPr>
            <w:webHidden/>
            <w:sz w:val="24"/>
            <w:szCs w:val="24"/>
          </w:rPr>
          <w:fldChar w:fldCharType="separate"/>
        </w:r>
        <w:r w:rsidR="00BB6F4D">
          <w:rPr>
            <w:webHidden/>
            <w:sz w:val="24"/>
            <w:szCs w:val="24"/>
          </w:rPr>
          <w:t>14</w:t>
        </w:r>
        <w:r w:rsidRPr="007B5FEE">
          <w:rPr>
            <w:webHidden/>
            <w:sz w:val="24"/>
            <w:szCs w:val="24"/>
          </w:rPr>
          <w:fldChar w:fldCharType="end"/>
        </w:r>
      </w:hyperlink>
    </w:p>
    <w:p w:rsidR="00A01000" w:rsidRPr="007B5FEE" w:rsidRDefault="00A01000"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27" w:history="1">
        <w:r w:rsidRPr="007B5FEE">
          <w:rPr>
            <w:rStyle w:val="Hyperlink"/>
            <w:sz w:val="24"/>
            <w:szCs w:val="24"/>
          </w:rPr>
          <w:t>Hunt</w:t>
        </w:r>
        <w:r w:rsidRPr="007B5FEE">
          <w:rPr>
            <w:rStyle w:val="Hyperlink"/>
            <w:sz w:val="24"/>
            <w:szCs w:val="24"/>
          </w:rPr>
          <w:t>i</w:t>
        </w:r>
        <w:r w:rsidRPr="007B5FEE">
          <w:rPr>
            <w:rStyle w:val="Hyperlink"/>
            <w:sz w:val="24"/>
            <w:szCs w:val="24"/>
          </w:rPr>
          <w:t>ng the Mammoth, Pleistocene to Postmodern</w:t>
        </w:r>
      </w:hyperlink>
    </w:p>
    <w:p w:rsidR="00111B89" w:rsidRPr="007B5FEE" w:rsidRDefault="00111B89" w:rsidP="007B5FEE">
      <w:pPr>
        <w:pStyle w:val="TOC1"/>
        <w:spacing w:line="360" w:lineRule="auto"/>
        <w:rPr>
          <w:rStyle w:val="Hyperlink"/>
          <w:sz w:val="24"/>
          <w:szCs w:val="24"/>
        </w:rPr>
      </w:pPr>
      <w:hyperlink w:anchor="_Toc292202628" w:history="1">
        <w:r w:rsidRPr="007B5FEE">
          <w:rPr>
            <w:rStyle w:val="Hyperlink"/>
            <w:i/>
            <w:iCs/>
            <w:sz w:val="24"/>
            <w:szCs w:val="24"/>
          </w:rPr>
          <w:t>Matthew Chrulew</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_Toc292202628 \h </w:instrText>
        </w:r>
        <w:r w:rsidRPr="007B5FEE">
          <w:rPr>
            <w:webHidden/>
            <w:sz w:val="24"/>
            <w:szCs w:val="24"/>
          </w:rPr>
        </w:r>
        <w:r w:rsidRPr="007B5FEE">
          <w:rPr>
            <w:webHidden/>
            <w:sz w:val="24"/>
            <w:szCs w:val="24"/>
          </w:rPr>
          <w:fldChar w:fldCharType="separate"/>
        </w:r>
        <w:r w:rsidR="00BB6F4D">
          <w:rPr>
            <w:webHidden/>
            <w:sz w:val="24"/>
            <w:szCs w:val="24"/>
          </w:rPr>
          <w:t>32</w:t>
        </w:r>
        <w:r w:rsidRPr="007B5FEE">
          <w:rPr>
            <w:webHidden/>
            <w:sz w:val="24"/>
            <w:szCs w:val="24"/>
          </w:rPr>
          <w:fldChar w:fldCharType="end"/>
        </w:r>
      </w:hyperlink>
    </w:p>
    <w:p w:rsidR="00A01000" w:rsidRPr="007B5FEE" w:rsidRDefault="00A01000"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29" w:history="1">
        <w:r w:rsidRPr="007B5FEE">
          <w:rPr>
            <w:rStyle w:val="Hyperlink"/>
            <w:sz w:val="24"/>
            <w:szCs w:val="24"/>
          </w:rPr>
          <w:t>Animal Affects: Spinoza and the Frontiers of the Human</w:t>
        </w:r>
      </w:hyperlink>
    </w:p>
    <w:p w:rsidR="00111B89" w:rsidRPr="007B5FEE" w:rsidRDefault="00111B89" w:rsidP="007B5FEE">
      <w:pPr>
        <w:pStyle w:val="TOC1"/>
        <w:spacing w:line="360" w:lineRule="auto"/>
        <w:rPr>
          <w:rStyle w:val="Hyperlink"/>
          <w:sz w:val="24"/>
          <w:szCs w:val="24"/>
        </w:rPr>
      </w:pPr>
      <w:hyperlink w:anchor="_Toc292202630" w:history="1">
        <w:r w:rsidRPr="007B5FEE">
          <w:rPr>
            <w:rStyle w:val="Hyperlink"/>
            <w:b w:val="0"/>
            <w:bCs/>
            <w:i/>
            <w:iCs/>
            <w:sz w:val="24"/>
            <w:szCs w:val="24"/>
          </w:rPr>
          <w:t>Hasana Sharp</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_Toc292202630 \h </w:instrText>
        </w:r>
        <w:r w:rsidRPr="007B5FEE">
          <w:rPr>
            <w:webHidden/>
            <w:sz w:val="24"/>
            <w:szCs w:val="24"/>
          </w:rPr>
        </w:r>
        <w:r w:rsidRPr="007B5FEE">
          <w:rPr>
            <w:webHidden/>
            <w:sz w:val="24"/>
            <w:szCs w:val="24"/>
          </w:rPr>
          <w:fldChar w:fldCharType="separate"/>
        </w:r>
        <w:r w:rsidR="00BB6F4D">
          <w:rPr>
            <w:webHidden/>
            <w:sz w:val="24"/>
            <w:szCs w:val="24"/>
          </w:rPr>
          <w:t>48</w:t>
        </w:r>
        <w:r w:rsidRPr="007B5FEE">
          <w:rPr>
            <w:webHidden/>
            <w:sz w:val="24"/>
            <w:szCs w:val="24"/>
          </w:rPr>
          <w:fldChar w:fldCharType="end"/>
        </w:r>
      </w:hyperlink>
    </w:p>
    <w:p w:rsidR="00A01000" w:rsidRPr="007B5FEE" w:rsidRDefault="00A01000" w:rsidP="007B5FEE">
      <w:pPr>
        <w:rPr>
          <w:noProof/>
          <w:szCs w:val="24"/>
        </w:rPr>
      </w:pPr>
    </w:p>
    <w:p w:rsidR="00A01000" w:rsidRPr="007B5FEE" w:rsidRDefault="00111B89" w:rsidP="007B5FEE">
      <w:pPr>
        <w:pStyle w:val="TOC1"/>
        <w:spacing w:line="360" w:lineRule="auto"/>
        <w:rPr>
          <w:sz w:val="24"/>
          <w:szCs w:val="24"/>
        </w:rPr>
      </w:pPr>
      <w:hyperlink w:anchor="_Toc292202631" w:history="1">
        <w:r w:rsidRPr="007B5FEE">
          <w:rPr>
            <w:rStyle w:val="Hyperlink"/>
            <w:sz w:val="24"/>
            <w:szCs w:val="24"/>
          </w:rPr>
          <w:t>The Status of Animality in Deleuze’s Thought</w:t>
        </w:r>
      </w:hyperlink>
    </w:p>
    <w:p w:rsidR="00111B89" w:rsidRPr="007B5FEE" w:rsidRDefault="00111B89" w:rsidP="007B5FEE">
      <w:pPr>
        <w:pStyle w:val="TOC1"/>
        <w:spacing w:line="360" w:lineRule="auto"/>
        <w:rPr>
          <w:rStyle w:val="Hyperlink"/>
          <w:sz w:val="24"/>
          <w:szCs w:val="24"/>
        </w:rPr>
      </w:pPr>
      <w:hyperlink w:anchor="_Toc292202632" w:history="1">
        <w:r w:rsidRPr="007B5FEE">
          <w:rPr>
            <w:rStyle w:val="Hyperlink"/>
            <w:b w:val="0"/>
            <w:i/>
            <w:sz w:val="24"/>
            <w:szCs w:val="24"/>
          </w:rPr>
          <w:t>Alain Beaulieu</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_Toc292202632 \h </w:instrText>
        </w:r>
        <w:r w:rsidRPr="007B5FEE">
          <w:rPr>
            <w:webHidden/>
            <w:sz w:val="24"/>
            <w:szCs w:val="24"/>
          </w:rPr>
        </w:r>
        <w:r w:rsidRPr="007B5FEE">
          <w:rPr>
            <w:webHidden/>
            <w:sz w:val="24"/>
            <w:szCs w:val="24"/>
          </w:rPr>
          <w:fldChar w:fldCharType="separate"/>
        </w:r>
        <w:r w:rsidR="00BB6F4D">
          <w:rPr>
            <w:webHidden/>
            <w:sz w:val="24"/>
            <w:szCs w:val="24"/>
          </w:rPr>
          <w:t>69</w:t>
        </w:r>
        <w:r w:rsidRPr="007B5FEE">
          <w:rPr>
            <w:webHidden/>
            <w:sz w:val="24"/>
            <w:szCs w:val="24"/>
          </w:rPr>
          <w:fldChar w:fldCharType="end"/>
        </w:r>
      </w:hyperlink>
    </w:p>
    <w:p w:rsidR="009E3B8E" w:rsidRPr="007B5FEE" w:rsidRDefault="009E3B8E"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33" w:history="1">
        <w:r w:rsidRPr="007B5FEE">
          <w:rPr>
            <w:rStyle w:val="Hyperlink"/>
            <w:sz w:val="24"/>
            <w:szCs w:val="24"/>
          </w:rPr>
          <w:t>Animal, Vegetable, Mineral: Ethics as Extension or Becoming?</w:t>
        </w:r>
      </w:hyperlink>
      <w:r w:rsidR="009E3B8E" w:rsidRPr="007B5FEE">
        <w:rPr>
          <w:rFonts w:ascii="Calibri" w:hAnsi="Calibri" w:cs="Arial"/>
          <w:sz w:val="24"/>
          <w:szCs w:val="24"/>
        </w:rPr>
        <w:t xml:space="preserve"> </w:t>
      </w:r>
      <w:hyperlink w:anchor="_Toc292202634" w:history="1">
        <w:r w:rsidRPr="007B5FEE">
          <w:rPr>
            <w:rStyle w:val="Hyperlink"/>
            <w:sz w:val="24"/>
            <w:szCs w:val="24"/>
          </w:rPr>
          <w:t>The Case of Becoming-Plant</w:t>
        </w:r>
      </w:hyperlink>
    </w:p>
    <w:p w:rsidR="00111B89" w:rsidRPr="007B5FEE" w:rsidRDefault="00111B89" w:rsidP="007B5FEE">
      <w:pPr>
        <w:pStyle w:val="TOC1"/>
        <w:spacing w:line="360" w:lineRule="auto"/>
        <w:rPr>
          <w:rStyle w:val="Hyperlink"/>
          <w:sz w:val="24"/>
          <w:szCs w:val="24"/>
        </w:rPr>
      </w:pPr>
      <w:hyperlink w:anchor="_Toc292202635" w:history="1">
        <w:r w:rsidRPr="007B5FEE">
          <w:rPr>
            <w:rStyle w:val="Hyperlink"/>
            <w:b w:val="0"/>
            <w:i/>
            <w:sz w:val="24"/>
            <w:szCs w:val="24"/>
          </w:rPr>
          <w:t>Karen L. F. Houle</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_Toc292202635 \h </w:instrText>
        </w:r>
        <w:r w:rsidRPr="007B5FEE">
          <w:rPr>
            <w:webHidden/>
            <w:sz w:val="24"/>
            <w:szCs w:val="24"/>
          </w:rPr>
        </w:r>
        <w:r w:rsidRPr="007B5FEE">
          <w:rPr>
            <w:webHidden/>
            <w:sz w:val="24"/>
            <w:szCs w:val="24"/>
          </w:rPr>
          <w:fldChar w:fldCharType="separate"/>
        </w:r>
        <w:r w:rsidR="00BB6F4D">
          <w:rPr>
            <w:webHidden/>
            <w:sz w:val="24"/>
            <w:szCs w:val="24"/>
          </w:rPr>
          <w:t>89</w:t>
        </w:r>
        <w:r w:rsidRPr="007B5FEE">
          <w:rPr>
            <w:webHidden/>
            <w:sz w:val="24"/>
            <w:szCs w:val="24"/>
          </w:rPr>
          <w:fldChar w:fldCharType="end"/>
        </w:r>
      </w:hyperlink>
    </w:p>
    <w:p w:rsidR="009E3B8E" w:rsidRPr="007B5FEE" w:rsidRDefault="009E3B8E"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36" w:history="1">
        <w:r w:rsidRPr="007B5FEE">
          <w:rPr>
            <w:rStyle w:val="Hyperlink"/>
            <w:sz w:val="24"/>
            <w:szCs w:val="24"/>
          </w:rPr>
          <w:t>“Strange Kinship” and Ascidian Life: 13 Repetitions</w:t>
        </w:r>
      </w:hyperlink>
    </w:p>
    <w:p w:rsidR="00111B89" w:rsidRPr="007B5FEE" w:rsidRDefault="00111B89" w:rsidP="007B5FEE">
      <w:pPr>
        <w:pStyle w:val="TOC1"/>
        <w:spacing w:line="360" w:lineRule="auto"/>
        <w:rPr>
          <w:rStyle w:val="Hyperlink"/>
          <w:sz w:val="24"/>
          <w:szCs w:val="24"/>
        </w:rPr>
      </w:pPr>
      <w:hyperlink w:anchor="_Toc292202637" w:history="1">
        <w:r w:rsidRPr="007B5FEE">
          <w:rPr>
            <w:rStyle w:val="Hyperlink"/>
            <w:b w:val="0"/>
            <w:i/>
            <w:sz w:val="24"/>
            <w:szCs w:val="24"/>
          </w:rPr>
          <w:t>Astrida Neimanis</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_Toc292202637 \h </w:instrText>
        </w:r>
        <w:r w:rsidRPr="007B5FEE">
          <w:rPr>
            <w:webHidden/>
            <w:sz w:val="24"/>
            <w:szCs w:val="24"/>
          </w:rPr>
        </w:r>
        <w:r w:rsidRPr="007B5FEE">
          <w:rPr>
            <w:webHidden/>
            <w:sz w:val="24"/>
            <w:szCs w:val="24"/>
          </w:rPr>
          <w:fldChar w:fldCharType="separate"/>
        </w:r>
        <w:r w:rsidR="00BB6F4D">
          <w:rPr>
            <w:webHidden/>
            <w:sz w:val="24"/>
            <w:szCs w:val="24"/>
          </w:rPr>
          <w:t>117</w:t>
        </w:r>
        <w:r w:rsidRPr="007B5FEE">
          <w:rPr>
            <w:webHidden/>
            <w:sz w:val="24"/>
            <w:szCs w:val="24"/>
          </w:rPr>
          <w:fldChar w:fldCharType="end"/>
        </w:r>
      </w:hyperlink>
    </w:p>
    <w:p w:rsidR="009E3B8E" w:rsidRPr="007B5FEE" w:rsidRDefault="009E3B8E"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38" w:history="1">
        <w:r w:rsidRPr="007B5FEE">
          <w:rPr>
            <w:rStyle w:val="Hyperlink"/>
            <w:sz w:val="24"/>
            <w:szCs w:val="24"/>
          </w:rPr>
          <w:t>Sounding Depth with the North Atlantic Right Whale and Merleau-Ponty: An Exercise in Comparative Phenomenology</w:t>
        </w:r>
      </w:hyperlink>
    </w:p>
    <w:p w:rsidR="00111B89" w:rsidRPr="007B5FEE" w:rsidRDefault="00111B89" w:rsidP="007B5FEE">
      <w:pPr>
        <w:pStyle w:val="TOC1"/>
        <w:spacing w:line="360" w:lineRule="auto"/>
        <w:rPr>
          <w:rStyle w:val="Hyperlink"/>
          <w:sz w:val="24"/>
          <w:szCs w:val="24"/>
        </w:rPr>
      </w:pPr>
      <w:hyperlink w:anchor="_Toc292202639" w:history="1">
        <w:r w:rsidRPr="007B5FEE">
          <w:rPr>
            <w:rStyle w:val="Hyperlink"/>
            <w:b w:val="0"/>
            <w:i/>
            <w:sz w:val="24"/>
            <w:szCs w:val="24"/>
          </w:rPr>
          <w:t>Jen McWeeny</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_Toc292202639 \h </w:instrText>
        </w:r>
        <w:r w:rsidRPr="007B5FEE">
          <w:rPr>
            <w:webHidden/>
            <w:sz w:val="24"/>
            <w:szCs w:val="24"/>
          </w:rPr>
        </w:r>
        <w:r w:rsidRPr="007B5FEE">
          <w:rPr>
            <w:webHidden/>
            <w:sz w:val="24"/>
            <w:szCs w:val="24"/>
          </w:rPr>
          <w:fldChar w:fldCharType="separate"/>
        </w:r>
        <w:r w:rsidR="00BB6F4D">
          <w:rPr>
            <w:webHidden/>
            <w:sz w:val="24"/>
            <w:szCs w:val="24"/>
          </w:rPr>
          <w:t>144</w:t>
        </w:r>
        <w:r w:rsidRPr="007B5FEE">
          <w:rPr>
            <w:webHidden/>
            <w:sz w:val="24"/>
            <w:szCs w:val="24"/>
          </w:rPr>
          <w:fldChar w:fldCharType="end"/>
        </w:r>
      </w:hyperlink>
    </w:p>
    <w:p w:rsidR="009E3B8E" w:rsidRDefault="009E3B8E" w:rsidP="007B5FEE">
      <w:pPr>
        <w:rPr>
          <w:noProof/>
          <w:szCs w:val="24"/>
        </w:rPr>
      </w:pPr>
    </w:p>
    <w:p w:rsidR="007B5FEE" w:rsidRPr="007B5FEE" w:rsidRDefault="007B5FEE" w:rsidP="007B5FEE">
      <w:pPr>
        <w:rPr>
          <w:noProof/>
          <w:szCs w:val="24"/>
        </w:rPr>
      </w:pPr>
    </w:p>
    <w:p w:rsidR="0064541B" w:rsidRDefault="0064541B" w:rsidP="007B5FEE">
      <w:pPr>
        <w:pStyle w:val="TOC1"/>
        <w:spacing w:line="360" w:lineRule="auto"/>
        <w:rPr>
          <w:rStyle w:val="Hyperlink"/>
          <w:sz w:val="24"/>
          <w:szCs w:val="24"/>
        </w:rPr>
      </w:pPr>
    </w:p>
    <w:p w:rsidR="00111B89" w:rsidRPr="007B5FEE" w:rsidRDefault="00111B89" w:rsidP="007B5FEE">
      <w:pPr>
        <w:pStyle w:val="TOC1"/>
        <w:spacing w:line="360" w:lineRule="auto"/>
        <w:rPr>
          <w:rFonts w:ascii="Calibri" w:hAnsi="Calibri" w:cs="Arial"/>
          <w:sz w:val="24"/>
          <w:szCs w:val="24"/>
        </w:rPr>
      </w:pPr>
      <w:hyperlink w:anchor="_Toc292202640" w:history="1">
        <w:r w:rsidRPr="007B5FEE">
          <w:rPr>
            <w:rStyle w:val="Hyperlink"/>
            <w:sz w:val="24"/>
            <w:szCs w:val="24"/>
          </w:rPr>
          <w:t>Infancy, Animality and the Limits of Language in the Work of Giorgio Agamben</w:t>
        </w:r>
      </w:hyperlink>
    </w:p>
    <w:p w:rsidR="00111B89" w:rsidRPr="007B5FEE" w:rsidRDefault="00111B89" w:rsidP="007B5FEE">
      <w:pPr>
        <w:pStyle w:val="TOC1"/>
        <w:spacing w:line="360" w:lineRule="auto"/>
        <w:rPr>
          <w:rStyle w:val="Hyperlink"/>
          <w:sz w:val="24"/>
          <w:szCs w:val="24"/>
        </w:rPr>
      </w:pPr>
      <w:hyperlink w:anchor="_Toc292202641" w:history="1">
        <w:r w:rsidRPr="007B5FEE">
          <w:rPr>
            <w:rStyle w:val="Hyperlink"/>
            <w:b w:val="0"/>
            <w:i/>
            <w:sz w:val="24"/>
            <w:szCs w:val="24"/>
          </w:rPr>
          <w:t>Sarah Hansen</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_Toc292202641 \h </w:instrText>
        </w:r>
        <w:r w:rsidRPr="007B5FEE">
          <w:rPr>
            <w:webHidden/>
            <w:sz w:val="24"/>
            <w:szCs w:val="24"/>
          </w:rPr>
        </w:r>
        <w:r w:rsidRPr="007B5FEE">
          <w:rPr>
            <w:webHidden/>
            <w:sz w:val="24"/>
            <w:szCs w:val="24"/>
          </w:rPr>
          <w:fldChar w:fldCharType="separate"/>
        </w:r>
        <w:r w:rsidR="00BB6F4D">
          <w:rPr>
            <w:webHidden/>
            <w:sz w:val="24"/>
            <w:szCs w:val="24"/>
          </w:rPr>
          <w:t>167</w:t>
        </w:r>
        <w:r w:rsidRPr="007B5FEE">
          <w:rPr>
            <w:webHidden/>
            <w:sz w:val="24"/>
            <w:szCs w:val="24"/>
          </w:rPr>
          <w:fldChar w:fldCharType="end"/>
        </w:r>
      </w:hyperlink>
    </w:p>
    <w:p w:rsidR="009E3B8E" w:rsidRPr="007B5FEE" w:rsidRDefault="009E3B8E"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42" w:history="1">
        <w:r w:rsidRPr="007B5FEE">
          <w:rPr>
            <w:rStyle w:val="Hyperlink"/>
            <w:sz w:val="24"/>
            <w:szCs w:val="24"/>
          </w:rPr>
          <w:t>“Veil of Shame”: Derrida, Sarah Bartmann and Animality</w:t>
        </w:r>
      </w:hyperlink>
    </w:p>
    <w:p w:rsidR="00111B89" w:rsidRPr="007B5FEE" w:rsidRDefault="00111B89" w:rsidP="007B5FEE">
      <w:pPr>
        <w:pStyle w:val="TOC1"/>
        <w:spacing w:line="360" w:lineRule="auto"/>
        <w:rPr>
          <w:rStyle w:val="Hyperlink"/>
          <w:sz w:val="24"/>
          <w:szCs w:val="24"/>
        </w:rPr>
      </w:pPr>
      <w:hyperlink w:anchor="_Toc292202643" w:history="1">
        <w:r w:rsidRPr="007B5FEE">
          <w:rPr>
            <w:rStyle w:val="Hyperlink"/>
            <w:b w:val="0"/>
            <w:i/>
            <w:sz w:val="24"/>
            <w:szCs w:val="24"/>
          </w:rPr>
          <w:t>Rebecca Tuvel</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_Toc292202643 \h </w:instrText>
        </w:r>
        <w:r w:rsidRPr="007B5FEE">
          <w:rPr>
            <w:webHidden/>
            <w:sz w:val="24"/>
            <w:szCs w:val="24"/>
          </w:rPr>
        </w:r>
        <w:r w:rsidRPr="007B5FEE">
          <w:rPr>
            <w:webHidden/>
            <w:sz w:val="24"/>
            <w:szCs w:val="24"/>
          </w:rPr>
          <w:fldChar w:fldCharType="separate"/>
        </w:r>
        <w:r w:rsidR="00BB6F4D">
          <w:rPr>
            <w:webHidden/>
            <w:sz w:val="24"/>
            <w:szCs w:val="24"/>
          </w:rPr>
          <w:t>182</w:t>
        </w:r>
        <w:r w:rsidRPr="007B5FEE">
          <w:rPr>
            <w:webHidden/>
            <w:sz w:val="24"/>
            <w:szCs w:val="24"/>
          </w:rPr>
          <w:fldChar w:fldCharType="end"/>
        </w:r>
      </w:hyperlink>
    </w:p>
    <w:p w:rsidR="0097374B" w:rsidRDefault="0097374B" w:rsidP="007B5FEE">
      <w:pPr>
        <w:rPr>
          <w:noProof/>
          <w:szCs w:val="24"/>
        </w:rPr>
      </w:pPr>
    </w:p>
    <w:p w:rsidR="007B5FEE" w:rsidRPr="007B5FEE" w:rsidRDefault="007B5FEE" w:rsidP="007B5FEE">
      <w:pPr>
        <w:rPr>
          <w:noProof/>
          <w:szCs w:val="24"/>
        </w:rPr>
      </w:pPr>
    </w:p>
    <w:p w:rsidR="007B5FEE" w:rsidRDefault="00111B89" w:rsidP="007B5FEE">
      <w:pPr>
        <w:pStyle w:val="TOC1"/>
        <w:spacing w:line="360" w:lineRule="auto"/>
        <w:rPr>
          <w:rStyle w:val="Hyperlink"/>
          <w:sz w:val="24"/>
          <w:szCs w:val="24"/>
        </w:rPr>
      </w:pPr>
      <w:hyperlink w:anchor="_Toc292202644" w:history="1">
        <w:r w:rsidRPr="007B5FEE">
          <w:rPr>
            <w:rStyle w:val="Hyperlink"/>
            <w:sz w:val="24"/>
            <w:szCs w:val="24"/>
          </w:rPr>
          <w:t>BOOK REVIEWS</w:t>
        </w:r>
      </w:hyperlink>
    </w:p>
    <w:p w:rsidR="007B5FEE" w:rsidRPr="007B5FEE" w:rsidRDefault="007B5FEE" w:rsidP="007B5FEE">
      <w:pPr>
        <w:rPr>
          <w:noProof/>
        </w:rPr>
      </w:pPr>
    </w:p>
    <w:p w:rsidR="00111B89" w:rsidRPr="007B5FEE" w:rsidRDefault="00111B89" w:rsidP="007B5FEE">
      <w:pPr>
        <w:pStyle w:val="TOC1"/>
        <w:spacing w:line="360" w:lineRule="auto"/>
        <w:rPr>
          <w:rFonts w:ascii="Calibri" w:hAnsi="Calibri" w:cs="Arial"/>
          <w:sz w:val="24"/>
          <w:szCs w:val="24"/>
        </w:rPr>
      </w:pPr>
      <w:hyperlink w:anchor="_Toc292202645" w:history="1">
        <w:r w:rsidRPr="007B5FEE">
          <w:rPr>
            <w:rStyle w:val="Hyperlink"/>
            <w:sz w:val="24"/>
            <w:szCs w:val="24"/>
          </w:rPr>
          <w:t xml:space="preserve">The Beast and the Sovereign </w:t>
        </w:r>
        <w:r w:rsidR="0097374B" w:rsidRPr="007B5FEE">
          <w:rPr>
            <w:rStyle w:val="Hyperlink"/>
            <w:iCs/>
            <w:sz w:val="24"/>
            <w:szCs w:val="24"/>
          </w:rPr>
          <w:t>V</w:t>
        </w:r>
        <w:r w:rsidRPr="007B5FEE">
          <w:rPr>
            <w:rStyle w:val="Hyperlink"/>
            <w:iCs/>
            <w:sz w:val="24"/>
            <w:szCs w:val="24"/>
          </w:rPr>
          <w:t>olume 1</w:t>
        </w:r>
      </w:hyperlink>
      <w:r w:rsidR="009E3B8E" w:rsidRPr="007B5FEE">
        <w:rPr>
          <w:rFonts w:ascii="Calibri" w:hAnsi="Calibri" w:cs="Arial"/>
          <w:sz w:val="24"/>
          <w:szCs w:val="24"/>
        </w:rPr>
        <w:t xml:space="preserve"> </w:t>
      </w:r>
    </w:p>
    <w:p w:rsidR="00111B89" w:rsidRPr="007B5FEE" w:rsidRDefault="00111B89" w:rsidP="007B5FEE">
      <w:pPr>
        <w:pStyle w:val="TOC1"/>
        <w:spacing w:line="360" w:lineRule="auto"/>
        <w:rPr>
          <w:rStyle w:val="Hyperlink"/>
          <w:sz w:val="24"/>
          <w:szCs w:val="24"/>
        </w:rPr>
      </w:pPr>
      <w:hyperlink w:anchor="_Toc292202647" w:history="1">
        <w:r w:rsidRPr="007B5FEE">
          <w:rPr>
            <w:rStyle w:val="Hyperlink"/>
            <w:b w:val="0"/>
            <w:i/>
            <w:sz w:val="24"/>
            <w:szCs w:val="24"/>
          </w:rPr>
          <w:t>Reviewed by Matt Applegate</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_Toc292202647 \h </w:instrText>
        </w:r>
        <w:r w:rsidRPr="007B5FEE">
          <w:rPr>
            <w:webHidden/>
            <w:sz w:val="24"/>
            <w:szCs w:val="24"/>
          </w:rPr>
        </w:r>
        <w:r w:rsidRPr="007B5FEE">
          <w:rPr>
            <w:webHidden/>
            <w:sz w:val="24"/>
            <w:szCs w:val="24"/>
          </w:rPr>
          <w:fldChar w:fldCharType="separate"/>
        </w:r>
        <w:r w:rsidR="00BB6F4D">
          <w:rPr>
            <w:webHidden/>
            <w:sz w:val="24"/>
            <w:szCs w:val="24"/>
          </w:rPr>
          <w:t>203</w:t>
        </w:r>
        <w:r w:rsidRPr="007B5FEE">
          <w:rPr>
            <w:webHidden/>
            <w:sz w:val="24"/>
            <w:szCs w:val="24"/>
          </w:rPr>
          <w:fldChar w:fldCharType="end"/>
        </w:r>
      </w:hyperlink>
    </w:p>
    <w:p w:rsidR="009E3B8E" w:rsidRPr="007B5FEE" w:rsidRDefault="009E3B8E" w:rsidP="007B5FEE">
      <w:pPr>
        <w:rPr>
          <w:noProof/>
          <w:szCs w:val="24"/>
        </w:rPr>
      </w:pPr>
    </w:p>
    <w:p w:rsidR="00111B89" w:rsidRPr="007B5FEE" w:rsidRDefault="00111B89" w:rsidP="007B5FEE">
      <w:pPr>
        <w:pStyle w:val="TOC1"/>
        <w:spacing w:line="360" w:lineRule="auto"/>
        <w:rPr>
          <w:rFonts w:ascii="Calibri" w:hAnsi="Calibri" w:cs="Arial"/>
          <w:sz w:val="24"/>
          <w:szCs w:val="24"/>
        </w:rPr>
      </w:pPr>
      <w:hyperlink w:anchor="_Toc292202648" w:history="1">
        <w:r w:rsidRPr="007B5FEE">
          <w:rPr>
            <w:rStyle w:val="Hyperlink"/>
            <w:iCs/>
            <w:sz w:val="24"/>
            <w:szCs w:val="24"/>
          </w:rPr>
          <w:t>What is Posthumanism?</w:t>
        </w:r>
      </w:hyperlink>
      <w:r w:rsidR="009E3B8E" w:rsidRPr="007B5FEE">
        <w:rPr>
          <w:rFonts w:ascii="Calibri" w:hAnsi="Calibri" w:cs="Arial"/>
          <w:i/>
          <w:sz w:val="24"/>
          <w:szCs w:val="24"/>
        </w:rPr>
        <w:t xml:space="preserve"> </w:t>
      </w:r>
    </w:p>
    <w:p w:rsidR="00111B89" w:rsidRPr="007B5FEE" w:rsidRDefault="00111B89" w:rsidP="007B5FEE">
      <w:pPr>
        <w:pStyle w:val="TOC1"/>
        <w:spacing w:line="360" w:lineRule="auto"/>
        <w:rPr>
          <w:rFonts w:ascii="Calibri" w:hAnsi="Calibri" w:cs="Arial"/>
          <w:sz w:val="24"/>
          <w:szCs w:val="24"/>
        </w:rPr>
      </w:pPr>
      <w:hyperlink w:anchor="_Toc292202650" w:history="1">
        <w:r w:rsidRPr="007B5FEE">
          <w:rPr>
            <w:rStyle w:val="Hyperlink"/>
            <w:b w:val="0"/>
            <w:i/>
            <w:sz w:val="24"/>
            <w:szCs w:val="24"/>
          </w:rPr>
          <w:t>Reviewed by Greg Pollock</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_Toc292202650 \h </w:instrText>
        </w:r>
        <w:r w:rsidRPr="007B5FEE">
          <w:rPr>
            <w:webHidden/>
            <w:sz w:val="24"/>
            <w:szCs w:val="24"/>
          </w:rPr>
        </w:r>
        <w:r w:rsidRPr="007B5FEE">
          <w:rPr>
            <w:webHidden/>
            <w:sz w:val="24"/>
            <w:szCs w:val="24"/>
          </w:rPr>
          <w:fldChar w:fldCharType="separate"/>
        </w:r>
        <w:r w:rsidR="00BB6F4D">
          <w:rPr>
            <w:webHidden/>
            <w:sz w:val="24"/>
            <w:szCs w:val="24"/>
          </w:rPr>
          <w:t>208</w:t>
        </w:r>
        <w:r w:rsidRPr="007B5FEE">
          <w:rPr>
            <w:webHidden/>
            <w:sz w:val="24"/>
            <w:szCs w:val="24"/>
          </w:rPr>
          <w:fldChar w:fldCharType="end"/>
        </w:r>
      </w:hyperlink>
    </w:p>
    <w:p w:rsidR="009E3B8E" w:rsidRPr="007B5FEE" w:rsidRDefault="009E3B8E" w:rsidP="007B5FEE">
      <w:pPr>
        <w:pStyle w:val="TOC1"/>
        <w:spacing w:line="360" w:lineRule="auto"/>
        <w:rPr>
          <w:rStyle w:val="Hyperlink"/>
          <w:i/>
          <w:sz w:val="24"/>
          <w:szCs w:val="24"/>
        </w:rPr>
      </w:pPr>
    </w:p>
    <w:p w:rsidR="007B5FEE" w:rsidRPr="007B5FEE" w:rsidRDefault="007B5FEE" w:rsidP="007B5FEE">
      <w:pPr>
        <w:pStyle w:val="TOC1"/>
        <w:spacing w:line="360" w:lineRule="auto"/>
        <w:rPr>
          <w:rStyle w:val="Hyperlink"/>
          <w:sz w:val="24"/>
          <w:szCs w:val="24"/>
        </w:rPr>
      </w:pPr>
    </w:p>
    <w:p w:rsidR="00111B89" w:rsidRPr="007B5FEE" w:rsidRDefault="00111B89" w:rsidP="007B5FEE">
      <w:pPr>
        <w:pStyle w:val="TOC1"/>
        <w:spacing w:line="360" w:lineRule="auto"/>
        <w:rPr>
          <w:rFonts w:ascii="Calibri" w:hAnsi="Calibri" w:cs="Arial"/>
          <w:sz w:val="24"/>
          <w:szCs w:val="24"/>
        </w:rPr>
      </w:pPr>
      <w:hyperlink w:anchor="_Toc292202654" w:history="1">
        <w:r w:rsidRPr="007B5FEE">
          <w:rPr>
            <w:rStyle w:val="Hyperlink"/>
            <w:iCs/>
            <w:sz w:val="24"/>
            <w:szCs w:val="24"/>
          </w:rPr>
          <w:t>JCAS: AUTHOR GUIDELINES</w:t>
        </w:r>
        <w:r w:rsidRPr="007B5FEE">
          <w:rPr>
            <w:webHidden/>
            <w:sz w:val="24"/>
            <w:szCs w:val="24"/>
          </w:rPr>
          <w:tab/>
        </w:r>
        <w:r w:rsidRPr="007B5FEE">
          <w:rPr>
            <w:webHidden/>
            <w:sz w:val="24"/>
            <w:szCs w:val="24"/>
          </w:rPr>
          <w:fldChar w:fldCharType="begin"/>
        </w:r>
        <w:r w:rsidRPr="007B5FEE">
          <w:rPr>
            <w:webHidden/>
            <w:sz w:val="24"/>
            <w:szCs w:val="24"/>
          </w:rPr>
          <w:instrText xml:space="preserve"> PAGEREF _Toc292202654 \h </w:instrText>
        </w:r>
        <w:r w:rsidRPr="007B5FEE">
          <w:rPr>
            <w:webHidden/>
            <w:sz w:val="24"/>
            <w:szCs w:val="24"/>
          </w:rPr>
        </w:r>
        <w:r w:rsidRPr="007B5FEE">
          <w:rPr>
            <w:webHidden/>
            <w:sz w:val="24"/>
            <w:szCs w:val="24"/>
          </w:rPr>
          <w:fldChar w:fldCharType="separate"/>
        </w:r>
        <w:r w:rsidR="00BB6F4D">
          <w:rPr>
            <w:webHidden/>
            <w:sz w:val="24"/>
            <w:szCs w:val="24"/>
          </w:rPr>
          <w:t>215</w:t>
        </w:r>
        <w:r w:rsidRPr="007B5FEE">
          <w:rPr>
            <w:webHidden/>
            <w:sz w:val="24"/>
            <w:szCs w:val="24"/>
          </w:rPr>
          <w:fldChar w:fldCharType="end"/>
        </w:r>
      </w:hyperlink>
    </w:p>
    <w:p w:rsidR="000175E0" w:rsidRPr="008E6081" w:rsidRDefault="000175E0" w:rsidP="007B5FEE">
      <w:pPr>
        <w:rPr>
          <w:szCs w:val="24"/>
        </w:rPr>
        <w:sectPr w:rsidR="000175E0" w:rsidRPr="008E6081" w:rsidSect="000175E0">
          <w:footnotePr>
            <w:numRestart w:val="eachSect"/>
          </w:footnotePr>
          <w:pgSz w:w="11907" w:h="16839" w:code="9"/>
          <w:pgMar w:top="1440" w:right="1440" w:bottom="1440" w:left="1440" w:header="708" w:footer="708" w:gutter="0"/>
          <w:cols w:space="708"/>
          <w:docGrid w:linePitch="360"/>
        </w:sectPr>
      </w:pPr>
      <w:r w:rsidRPr="007B5FEE">
        <w:rPr>
          <w:b/>
          <w:noProof/>
          <w:szCs w:val="24"/>
        </w:rPr>
        <w:fldChar w:fldCharType="end"/>
      </w:r>
    </w:p>
    <w:p w:rsidR="000175E0" w:rsidRDefault="000175E0" w:rsidP="00F63083">
      <w:pPr>
        <w:pStyle w:val="Heading1"/>
      </w:pPr>
      <w:bookmarkStart w:id="72" w:name="_Toc292202624"/>
      <w:r>
        <w:lastRenderedPageBreak/>
        <w:t>GUEST EDITORIAL</w:t>
      </w:r>
      <w:bookmarkEnd w:id="72"/>
    </w:p>
    <w:p w:rsidR="000175E0" w:rsidRDefault="000175E0" w:rsidP="000175E0">
      <w:pPr>
        <w:jc w:val="center"/>
        <w:rPr>
          <w:lang w:val="en-CA"/>
        </w:rPr>
      </w:pPr>
    </w:p>
    <w:p w:rsidR="0067706A" w:rsidRDefault="0067706A" w:rsidP="0067706A">
      <w:pPr>
        <w:rPr>
          <w:rFonts w:cs="Times New Roman"/>
          <w:szCs w:val="24"/>
        </w:rPr>
      </w:pPr>
      <w:r>
        <w:rPr>
          <w:rFonts w:cs="Times New Roman"/>
          <w:szCs w:val="24"/>
        </w:rPr>
        <w:t xml:space="preserve">This Special </w:t>
      </w:r>
      <w:r w:rsidR="009E3B8E">
        <w:rPr>
          <w:rFonts w:cs="Times New Roman"/>
          <w:szCs w:val="24"/>
        </w:rPr>
        <w:t>Issue</w:t>
      </w:r>
      <w:r>
        <w:rPr>
          <w:rFonts w:cs="Times New Roman"/>
          <w:szCs w:val="24"/>
        </w:rPr>
        <w:t xml:space="preserve"> of the </w:t>
      </w:r>
      <w:r w:rsidR="00DD5281">
        <w:rPr>
          <w:rFonts w:cs="Times New Roman"/>
          <w:i/>
          <w:szCs w:val="24"/>
        </w:rPr>
        <w:t>Journal for</w:t>
      </w:r>
      <w:r w:rsidRPr="008203AF">
        <w:rPr>
          <w:rFonts w:cs="Times New Roman"/>
          <w:i/>
          <w:szCs w:val="24"/>
        </w:rPr>
        <w:t xml:space="preserve"> Critical Animal Studies</w:t>
      </w:r>
      <w:r>
        <w:rPr>
          <w:rFonts w:cs="Times New Roman"/>
          <w:szCs w:val="24"/>
        </w:rPr>
        <w:t xml:space="preserve"> brings together a series of articles from philosophers trained in the continental European tradition, and engaging with that tradition, in order to think critically about human relations with other animals. </w:t>
      </w:r>
    </w:p>
    <w:p w:rsidR="0067706A" w:rsidRDefault="0067706A" w:rsidP="0067706A">
      <w:pPr>
        <w:rPr>
          <w:rFonts w:cs="Times New Roman"/>
          <w:szCs w:val="24"/>
        </w:rPr>
      </w:pPr>
      <w:r>
        <w:rPr>
          <w:rFonts w:cs="Times New Roman"/>
          <w:szCs w:val="24"/>
        </w:rPr>
        <w:t xml:space="preserve"> </w:t>
      </w:r>
    </w:p>
    <w:p w:rsidR="0067706A" w:rsidRDefault="0067706A" w:rsidP="0067706A">
      <w:pPr>
        <w:rPr>
          <w:rFonts w:cs="Times New Roman"/>
          <w:szCs w:val="24"/>
        </w:rPr>
      </w:pPr>
      <w:r>
        <w:rPr>
          <w:rFonts w:cs="Times New Roman"/>
          <w:szCs w:val="24"/>
        </w:rPr>
        <w:t xml:space="preserve">The first two papers in this issue are analyses of hominization stories in modern and contemporary culture as these rely on interpretations of prehistoric depictions of animals or on prehistoric animals themselves. In “Painting the Prehuman: Bataille, Merleau-Ponty and the Aesthetic Origins of Humanity,” </w:t>
      </w:r>
      <w:r w:rsidRPr="00E418B5">
        <w:rPr>
          <w:rFonts w:cs="Times New Roman"/>
          <w:b/>
          <w:szCs w:val="24"/>
        </w:rPr>
        <w:t xml:space="preserve">Brett Buchanan </w:t>
      </w:r>
      <w:r>
        <w:rPr>
          <w:rFonts w:cs="Times New Roman"/>
          <w:szCs w:val="24"/>
        </w:rPr>
        <w:t xml:space="preserve">engages with Georges Bataille’s speciesist interpretation of the cave paintings at Lascaux as marking the birth of humanity. The cave art, for Bataille, allow us to bear witness to the moment when humans began to distinguish themselves from other animals, thereby transitioned from animality to humanity. The paintings, depicting the hunt by humans of other animals, reflect on the deaths of animals and thereby mark the moment when human beings became conscious of their own passage towards death, a characteristic that has often been alleged to distinguish humans from other animals. Buchanan suggests, however, that if the birth of humanity is to be understood, for Bataille, as the passage from animality to humanity, </w:t>
      </w:r>
      <w:r w:rsidRPr="006331F7">
        <w:rPr>
          <w:rFonts w:cs="Times New Roman"/>
          <w:szCs w:val="24"/>
        </w:rPr>
        <w:t>death</w:t>
      </w:r>
      <w:r>
        <w:rPr>
          <w:rFonts w:cs="Times New Roman"/>
          <w:szCs w:val="24"/>
        </w:rPr>
        <w:t>, for humans,</w:t>
      </w:r>
      <w:r w:rsidRPr="006331F7">
        <w:rPr>
          <w:rFonts w:cs="Times New Roman"/>
          <w:szCs w:val="24"/>
        </w:rPr>
        <w:t xml:space="preserve"> </w:t>
      </w:r>
      <w:r>
        <w:rPr>
          <w:rFonts w:cs="Times New Roman"/>
          <w:szCs w:val="24"/>
        </w:rPr>
        <w:t xml:space="preserve">is conceived as a </w:t>
      </w:r>
      <w:r w:rsidRPr="00E418B5">
        <w:rPr>
          <w:rFonts w:cs="Times New Roman"/>
          <w:i/>
          <w:szCs w:val="24"/>
        </w:rPr>
        <w:t>return</w:t>
      </w:r>
      <w:r>
        <w:rPr>
          <w:rFonts w:cs="Times New Roman"/>
          <w:szCs w:val="24"/>
        </w:rPr>
        <w:t xml:space="preserve"> to animality. Moreover, since birth always already entails an eventual death and thus contains such an animality within it, the birth of humanity necessarily involves a recognition of the impossibility of a humanity understood as other-than-animal or deathless. Thus it is not just serendipitous that Bataille reflects on the birth of humanity in the same essay in which he considers humanity’s impending extinction. In contrast to Bataille’s reading of the Lascaux paintings, Buchanan pursues the intriguing argument that what we witness in these images is not the birth of humanity but a recognition of its impossibility. This may be why, Buchanan speculates, prehistoric artists omitted or rendered formless images of the human.</w:t>
      </w:r>
      <w:r w:rsidRPr="00FF5290">
        <w:rPr>
          <w:rFonts w:cs="Times New Roman"/>
          <w:szCs w:val="24"/>
        </w:rPr>
        <w:t xml:space="preserve"> </w:t>
      </w:r>
      <w:r>
        <w:rPr>
          <w:rFonts w:cs="Times New Roman"/>
          <w:szCs w:val="24"/>
        </w:rPr>
        <w:t>Drawing on Maurice Merleau-Ponty’s account of art as the attempt of humans to express the prehuman condition, Buchanan underscores his argument that the prehuman is always already contained within the human.</w:t>
      </w:r>
    </w:p>
    <w:p w:rsidR="0067706A" w:rsidRDefault="0067706A" w:rsidP="0067706A">
      <w:pPr>
        <w:rPr>
          <w:rFonts w:cs="Times New Roman"/>
          <w:szCs w:val="24"/>
        </w:rPr>
      </w:pPr>
    </w:p>
    <w:p w:rsidR="0067706A" w:rsidRDefault="0067706A" w:rsidP="0067706A">
      <w:pPr>
        <w:rPr>
          <w:rFonts w:cs="Times New Roman"/>
          <w:szCs w:val="24"/>
        </w:rPr>
      </w:pPr>
      <w:r>
        <w:rPr>
          <w:rFonts w:cs="Times New Roman"/>
          <w:szCs w:val="24"/>
        </w:rPr>
        <w:lastRenderedPageBreak/>
        <w:t xml:space="preserve">It is a few blocks from the Woolly Mammoth Child Care centre in Berkeley, California that I am summarizing </w:t>
      </w:r>
      <w:r w:rsidRPr="00366B7B">
        <w:rPr>
          <w:rFonts w:cs="Times New Roman"/>
          <w:b/>
          <w:szCs w:val="24"/>
        </w:rPr>
        <w:t>Matthew Chrulew</w:t>
      </w:r>
      <w:r>
        <w:rPr>
          <w:rFonts w:cs="Times New Roman"/>
          <w:szCs w:val="24"/>
        </w:rPr>
        <w:t xml:space="preserve">’s article, “Hunting the Mammoth, Pleistocene to Postmodern.” In this fascinating piece, Chrulew explores a range of texts featuring the mammoth, from children’s literature and adult fiction, to anthropological, paleontological, ethnographic and philosophical tracts, to rewilding projects and the desire to bring the Pleistocene creature back to life through cloning. Given the ubiquity of these investments in the mammoth, Chrulew argues that the mammoth is the “totem animal of postmodernity.” Chrulew’s article compellingly argues that what is at stake in our fascination for this extinct mega-fauna is our self-understanding, or our hopes and fears for the human. Already depleted and threatened by climate change, the mammoth is widely supposed to have been pushed over the edge into extinction by human hunting, although, as Chrulew notes, this version of events remains contested. Nevertheless, “Hunting the Mammoth” shows that speculative reconstructions of how the small and defenseless proto-human allegedly  managed to hunt the massive (albeit herbivorous) mammoth into extinction represent male carnivorous desire, as exemplified by the mammoth hunt, as a key element of anthropogenesis. The desire for mammoth meat is suggested to have led prehistoric men to band together in order to slay the much larger fauna. In the process, intelligence, tool-construction and co-operation were cultivated—the very skills that, we tell ourselves, established humans as superior and unique among animals and were foundational of civilization. Taking up Derrida’s phrase, Chrulew argues that it is a carnophallogocentric subject that features in many of these imaginative reconstructions of the mammoth. Other versions of the contemporary mammoth tale, however, are indicative of our guilt over the apocalyptic role of humans vis-à-vis the natural world, tracing continuities and contrasts between the proto-human mammoth hunter and the capitalist domination and exploitation of nature today. Whether guilt-ridden or carnophallogocentrically self-congratulatory, Chrulew’s article shows that the mammoth is a privileged figure in our current stories of the making and unmaking of “man,” as we continue to define humanity at the expense of other animals. Chrulew’s contribution to this issue leads us to eagerly anticipate his forthcoming monograph, </w:t>
      </w:r>
      <w:r w:rsidRPr="0081375C">
        <w:rPr>
          <w:rFonts w:cs="Times New Roman"/>
          <w:i/>
          <w:szCs w:val="24"/>
        </w:rPr>
        <w:t>Mammoth</w:t>
      </w:r>
      <w:r>
        <w:rPr>
          <w:rFonts w:cs="Times New Roman"/>
          <w:szCs w:val="24"/>
        </w:rPr>
        <w:t xml:space="preserve"> (London: Reaktion books).</w:t>
      </w:r>
    </w:p>
    <w:p w:rsidR="0067706A" w:rsidRDefault="0067706A" w:rsidP="0067706A">
      <w:pPr>
        <w:rPr>
          <w:rFonts w:cs="Times New Roman"/>
          <w:szCs w:val="24"/>
        </w:rPr>
      </w:pPr>
    </w:p>
    <w:p w:rsidR="0067706A" w:rsidRDefault="0067706A" w:rsidP="0067706A">
      <w:pPr>
        <w:rPr>
          <w:rFonts w:cs="Times New Roman"/>
          <w:szCs w:val="24"/>
        </w:rPr>
      </w:pPr>
      <w:r>
        <w:rPr>
          <w:rFonts w:cs="Times New Roman"/>
          <w:szCs w:val="24"/>
        </w:rPr>
        <w:t xml:space="preserve">With </w:t>
      </w:r>
      <w:r w:rsidRPr="003E76E7">
        <w:rPr>
          <w:rFonts w:cs="Times New Roman"/>
          <w:b/>
          <w:szCs w:val="24"/>
        </w:rPr>
        <w:t>Hasana Sharp</w:t>
      </w:r>
      <w:r>
        <w:rPr>
          <w:rFonts w:cs="Times New Roman"/>
          <w:szCs w:val="24"/>
        </w:rPr>
        <w:t xml:space="preserve">’s article, “Animal Affects: Spinoza and the Frontiers of the Human,” we move from the prehistoric to the early modern. As Sharp notes, it is René </w:t>
      </w:r>
      <w:r>
        <w:rPr>
          <w:rFonts w:cs="Times New Roman"/>
          <w:szCs w:val="24"/>
        </w:rPr>
        <w:lastRenderedPageBreak/>
        <w:t xml:space="preserve">Descartes, with his disenchantment of the natural world and his infamous view of nonhuman animals as nonsentient automata, who is most often singled out for critique with respect to philosophies of the nonhuman in this period. Severing ensouled mind from dis-spirited matter, Descartes argued that mind and body were substances with nothing in common. Placing nature, including nonhuman animals, in the category of matter, devoid of soul, Descartes drew an unequivocal line between humans and the natural world, with humans alone possessing mind or soul and hence reason and sentience. Given that Baruch Spinoza provides a radically contrary although contemporary metaphysics, in which mind and body are one substance, we might have expected similarly opposed and hence less pernicious consequences for Spinoza’s philosophical views about other animals. On the contrary, however, Sharp observes that Spinoza has been deemed </w:t>
      </w:r>
      <w:r w:rsidRPr="00593915">
        <w:rPr>
          <w:rFonts w:cs="Times New Roman"/>
          <w:i/>
          <w:szCs w:val="24"/>
        </w:rPr>
        <w:t>worse</w:t>
      </w:r>
      <w:r>
        <w:rPr>
          <w:rFonts w:cs="Times New Roman"/>
          <w:szCs w:val="24"/>
        </w:rPr>
        <w:t xml:space="preserve"> than Descartes in this regard, extending the instrumental view of nature even as he engaged in sadistic practices involving spiders. As Sharp writes</w:t>
      </w:r>
      <w:r w:rsidRPr="009910AE">
        <w:rPr>
          <w:rFonts w:cs="Times New Roman"/>
          <w:szCs w:val="24"/>
        </w:rPr>
        <w:t xml:space="preserve">, “Even though his metaphysical system demands it, Spinoza himself does not seem altogether comfortable with the consequences of his metaphysics </w:t>
      </w:r>
      <w:r>
        <w:rPr>
          <w:rFonts w:cs="Times New Roman"/>
          <w:szCs w:val="24"/>
        </w:rPr>
        <w:t>for human distinctiveness.” While this may be surprising, Sharp suggests that it is the anxiety raised by the lack of metaphysical boundaries between humans and other animals—and by the natural scientific world view more generally—that resulted in Spinoza’s attitude towards other animals. As Sharp argues: “</w:t>
      </w:r>
      <w:r w:rsidRPr="009910AE">
        <w:rPr>
          <w:rFonts w:cs="Times New Roman"/>
          <w:szCs w:val="24"/>
        </w:rPr>
        <w:t>The importance of the distance between human and animal in the seventeenth century</w:t>
      </w:r>
      <w:r>
        <w:rPr>
          <w:rFonts w:cs="Times New Roman"/>
          <w:szCs w:val="24"/>
        </w:rPr>
        <w:t>…</w:t>
      </w:r>
      <w:r w:rsidRPr="009910AE">
        <w:rPr>
          <w:rFonts w:cs="Times New Roman"/>
          <w:szCs w:val="24"/>
        </w:rPr>
        <w:t xml:space="preserve"> arises because it is precisely what can no longer be metaphysically sustained.</w:t>
      </w:r>
      <w:r>
        <w:rPr>
          <w:rFonts w:cs="Times New Roman"/>
          <w:szCs w:val="24"/>
        </w:rPr>
        <w:t>” The mechanistic view of nature has given rise to increasingly adamant claims about human exceptionalism and correspondingly draconian attitudes towards other animals, not because this view demonstrated the human/animal divide, but rather because it undermined it. In a fascinating illustration of this thesis, “Animal Affects” discusses Spinoza’s curious interpretation of the Genesis story, rewritten so that it is not Eve but the affects of other animals that represent a dangerous temptation for Adam. Significantly, Sharp argues that the same defensive need to bolster the belief in human exceptionalism is pervasive today: as the human/animal divide is further eroded, it continues to affirmed—not paradoxically but consequently—more adamantly than ever. Thus Sharp writes, “</w:t>
      </w:r>
      <w:r w:rsidRPr="00AA24F0">
        <w:rPr>
          <w:rFonts w:cs="Times New Roman"/>
          <w:szCs w:val="24"/>
        </w:rPr>
        <w:t xml:space="preserve">Spinoza’s example shows that belief in the mutability of humanity and the permeability of the species frontier does not necessarily foster a pro-animal philosophy, and may even inflame anxiety about human affection for </w:t>
      </w:r>
      <w:r>
        <w:rPr>
          <w:rFonts w:cs="Times New Roman"/>
          <w:szCs w:val="24"/>
        </w:rPr>
        <w:t xml:space="preserve">‘beasts’.” As Sharp suggests, this can help to explain the incredulity and defensive </w:t>
      </w:r>
      <w:r>
        <w:rPr>
          <w:rFonts w:cs="Times New Roman"/>
          <w:szCs w:val="24"/>
        </w:rPr>
        <w:lastRenderedPageBreak/>
        <w:t xml:space="preserve">fear that animal activism and its attempts to undermine the human/animal distinction provoke. Consequently, a lesson to be learned from Sharp’s presentation of Spinoza is that </w:t>
      </w:r>
      <w:r w:rsidRPr="00AA24F0">
        <w:rPr>
          <w:rFonts w:cs="Times New Roman"/>
          <w:szCs w:val="24"/>
        </w:rPr>
        <w:t xml:space="preserve">“we ought not presume that either the porosity of species boundaries or the resemblance between humans and many nonhuman animals suffices to engender an appreciation of nonhuman life.”  </w:t>
      </w:r>
      <w:r>
        <w:rPr>
          <w:rFonts w:cs="Times New Roman"/>
          <w:szCs w:val="24"/>
        </w:rPr>
        <w:t xml:space="preserve">In her final section, “Spinoza contra Spinoza,” Sharp takes up Spinoza’s work in order to theorize how we might be mutually enabled rather than endangered by the contagion of interspecies affect. </w:t>
      </w:r>
    </w:p>
    <w:p w:rsidR="0067706A" w:rsidRDefault="0067706A" w:rsidP="0067706A">
      <w:pPr>
        <w:rPr>
          <w:rFonts w:cs="Times New Roman"/>
          <w:b/>
          <w:szCs w:val="24"/>
        </w:rPr>
      </w:pPr>
    </w:p>
    <w:p w:rsidR="0067706A" w:rsidRDefault="0067706A" w:rsidP="0067706A">
      <w:pPr>
        <w:rPr>
          <w:rFonts w:cs="Times New Roman"/>
          <w:szCs w:val="24"/>
        </w:rPr>
      </w:pPr>
      <w:r w:rsidRPr="005E29AC">
        <w:rPr>
          <w:rFonts w:cs="Times New Roman"/>
          <w:b/>
          <w:szCs w:val="24"/>
        </w:rPr>
        <w:t>Alain Beaulieu</w:t>
      </w:r>
      <w:r>
        <w:rPr>
          <w:rFonts w:cs="Times New Roman"/>
          <w:szCs w:val="24"/>
        </w:rPr>
        <w:t xml:space="preserve">’s article, “The Status of Animality in Deleuze’s Thought,” is the first of three articles to engage with the philosophical writings of Gilles Deleuze as well as his collaborative works with Félix Guattari. The writings of Deleuze and Guattari have received extensive attention within continental approaches to animal studies because, as Beaulieu notes, animals—spiders, ticks, fleas, crustaceans, cats, dogs, wolves and birds, to name a few—are pervasively present in their corpus, and their notion of “becoming animal” has drawn particular interest. Beaulieu’s contribution to this issue provides a clear and concise introduction to the primary sources of Deleuze’s, and Deleuze and Guattari’s, contributions to animal studies. While the task of summarizing and responding to all the secondary literature that Deleuze and Guattari’s writing on animals have inspired would be impossible in a single article, Beaulieu highlights and responds critically to a few significant moments in this body of critical response, notably that of Donna Haraway. Finally, “The Status of Animality in Deleuze’s Thought” concludes with some reflections on future uses of Deleuzo-Guattarian thought for animal studies. </w:t>
      </w:r>
    </w:p>
    <w:p w:rsidR="0067706A" w:rsidRDefault="0067706A" w:rsidP="0067706A">
      <w:pPr>
        <w:pStyle w:val="InsideAddress"/>
        <w:spacing w:line="360" w:lineRule="auto"/>
        <w:rPr>
          <w:rFonts w:ascii="Times New Roman" w:hAnsi="Times New Roman"/>
          <w:b/>
          <w:sz w:val="24"/>
          <w:szCs w:val="24"/>
        </w:rPr>
      </w:pPr>
    </w:p>
    <w:p w:rsidR="0067706A" w:rsidRPr="007055F6" w:rsidRDefault="0067706A" w:rsidP="0067706A">
      <w:pPr>
        <w:pStyle w:val="InsideAddress"/>
        <w:spacing w:line="360" w:lineRule="auto"/>
        <w:rPr>
          <w:rFonts w:ascii="Times New Roman" w:hAnsi="Times New Roman"/>
          <w:sz w:val="24"/>
          <w:szCs w:val="24"/>
        </w:rPr>
      </w:pPr>
      <w:r w:rsidRPr="007055F6">
        <w:rPr>
          <w:rFonts w:ascii="Times New Roman" w:hAnsi="Times New Roman"/>
          <w:b/>
          <w:sz w:val="24"/>
          <w:szCs w:val="24"/>
        </w:rPr>
        <w:t>Karen Houle</w:t>
      </w:r>
      <w:r>
        <w:rPr>
          <w:rFonts w:ascii="Times New Roman" w:hAnsi="Times New Roman"/>
          <w:sz w:val="24"/>
          <w:szCs w:val="24"/>
        </w:rPr>
        <w:t>’s article,</w:t>
      </w:r>
      <w:r w:rsidRPr="007055F6">
        <w:rPr>
          <w:rFonts w:ascii="Times New Roman" w:hAnsi="Times New Roman"/>
          <w:sz w:val="24"/>
          <w:szCs w:val="24"/>
        </w:rPr>
        <w:t xml:space="preserve"> “Animal, Vegetable, Mineral: Ethics as Extension or Becoming? The case of </w:t>
      </w:r>
      <w:r w:rsidRPr="007055F6">
        <w:rPr>
          <w:rFonts w:ascii="Times New Roman" w:hAnsi="Times New Roman"/>
          <w:i/>
          <w:sz w:val="24"/>
          <w:szCs w:val="24"/>
        </w:rPr>
        <w:t>Becoming-Plant</w:t>
      </w:r>
      <w:r>
        <w:rPr>
          <w:rFonts w:ascii="Times New Roman" w:hAnsi="Times New Roman"/>
          <w:sz w:val="24"/>
          <w:szCs w:val="24"/>
        </w:rPr>
        <w:t xml:space="preserve">” resists the argument that the animal has been neglected in Western philosophy, or that the “animal question” needs to be brought to light. In fact, Houle argues, the animal has been omnipresent in Western philosophy, precisely because it is always the foil that defines what humans are not. The animal question is intimately linked to the question of Being, Houle suggests, and this has done little good for either animals or thought. On the contrary, thinking through animality has got us stuck thinking in terms of analogies, resemblances, teleology and functionality. In foregrounding animality, moreover, Houle notes that herbality has been relegated to the background. There has been truly little effort to </w:t>
      </w:r>
      <w:r>
        <w:rPr>
          <w:rFonts w:ascii="Times New Roman" w:hAnsi="Times New Roman"/>
          <w:sz w:val="24"/>
          <w:szCs w:val="24"/>
        </w:rPr>
        <w:lastRenderedPageBreak/>
        <w:t>think plants in Western philosophy, Houle observes, “</w:t>
      </w:r>
      <w:r w:rsidRPr="00985103">
        <w:rPr>
          <w:rFonts w:ascii="Times New Roman" w:hAnsi="Times New Roman"/>
          <w:kern w:val="0"/>
          <w:sz w:val="24"/>
          <w:szCs w:val="24"/>
        </w:rPr>
        <w:t>And though we know, intellectually, that we always have and always will live by grace of the oxygen produced by said plants, and are built from the very carbons of them, and run our entire global economy of</w:t>
      </w:r>
      <w:r>
        <w:rPr>
          <w:rFonts w:ascii="Times New Roman" w:hAnsi="Times New Roman"/>
          <w:kern w:val="0"/>
          <w:sz w:val="24"/>
          <w:szCs w:val="24"/>
        </w:rPr>
        <w:t>f</w:t>
      </w:r>
      <w:r w:rsidRPr="00985103">
        <w:rPr>
          <w:rFonts w:ascii="Times New Roman" w:hAnsi="Times New Roman"/>
          <w:kern w:val="0"/>
          <w:sz w:val="24"/>
          <w:szCs w:val="24"/>
        </w:rPr>
        <w:t xml:space="preserve"> the backs of that carbon, we are unable to think let alone live the novel and profound truths of </w:t>
      </w:r>
      <w:r w:rsidRPr="00985103">
        <w:rPr>
          <w:rFonts w:ascii="Times New Roman" w:hAnsi="Times New Roman"/>
          <w:i/>
          <w:kern w:val="0"/>
          <w:sz w:val="24"/>
          <w:szCs w:val="24"/>
        </w:rPr>
        <w:t>these</w:t>
      </w:r>
      <w:r w:rsidRPr="00985103">
        <w:rPr>
          <w:rFonts w:ascii="Times New Roman" w:hAnsi="Times New Roman"/>
          <w:kern w:val="0"/>
          <w:sz w:val="24"/>
          <w:szCs w:val="24"/>
        </w:rPr>
        <w:t xml:space="preserve"> vegetal relations.</w:t>
      </w:r>
      <w:r>
        <w:rPr>
          <w:rFonts w:ascii="Times New Roman" w:hAnsi="Times New Roman"/>
          <w:sz w:val="24"/>
          <w:szCs w:val="24"/>
        </w:rPr>
        <w:t>” Some cases in point: while Derrida argues that we need to consider “the whole world of lifeforms,” he himself “got stuck on cats, and meat”; Deleuze and Guattari theorized not only becoming-animal, but becoming-mineral and becoming-plant, and yet they spilled by far the most ink on becoming-animal. Why is it so hard for us to think, not the animal question, but the plant question? And, even more importantly, might thinking herbality be better for animals, for ecology, and for thought itself than thinking animality has been? It is the task of exploring these questions, and of cultivating a “vegetable philosophy,” that Houle devotes her original and provocative essay. To this end, Houle takes up and expands upon Deleuze and Guattari’s notion of becoming plant in the hopes that developing a “philosophical botany” might free</w:t>
      </w:r>
      <w:r w:rsidRPr="00985103">
        <w:rPr>
          <w:rFonts w:ascii="Times New Roman" w:hAnsi="Times New Roman"/>
          <w:sz w:val="24"/>
          <w:szCs w:val="24"/>
        </w:rPr>
        <w:t xml:space="preserve"> </w:t>
      </w:r>
      <w:r>
        <w:rPr>
          <w:rFonts w:ascii="Times New Roman" w:hAnsi="Times New Roman"/>
          <w:sz w:val="24"/>
          <w:szCs w:val="24"/>
        </w:rPr>
        <w:t>“</w:t>
      </w:r>
      <w:r w:rsidRPr="00985103">
        <w:rPr>
          <w:rFonts w:ascii="Times New Roman" w:hAnsi="Times New Roman"/>
          <w:sz w:val="24"/>
          <w:szCs w:val="24"/>
        </w:rPr>
        <w:t>the powers of thought</w:t>
      </w:r>
      <w:r>
        <w:rPr>
          <w:rFonts w:ascii="Times New Roman" w:hAnsi="Times New Roman"/>
          <w:sz w:val="24"/>
          <w:szCs w:val="24"/>
        </w:rPr>
        <w:t>, even provisionally,</w:t>
      </w:r>
      <w:r w:rsidRPr="00985103">
        <w:rPr>
          <w:rFonts w:ascii="Times New Roman" w:hAnsi="Times New Roman"/>
          <w:sz w:val="24"/>
          <w:szCs w:val="24"/>
        </w:rPr>
        <w:t xml:space="preserve"> from the bad habits it </w:t>
      </w:r>
      <w:r>
        <w:rPr>
          <w:rFonts w:ascii="Times New Roman" w:hAnsi="Times New Roman"/>
          <w:sz w:val="24"/>
          <w:szCs w:val="24"/>
        </w:rPr>
        <w:t xml:space="preserve">has </w:t>
      </w:r>
      <w:r w:rsidRPr="00985103">
        <w:rPr>
          <w:rFonts w:ascii="Times New Roman" w:hAnsi="Times New Roman"/>
          <w:sz w:val="24"/>
          <w:szCs w:val="24"/>
        </w:rPr>
        <w:t>develop</w:t>
      </w:r>
      <w:r>
        <w:rPr>
          <w:rFonts w:ascii="Times New Roman" w:hAnsi="Times New Roman"/>
          <w:sz w:val="24"/>
          <w:szCs w:val="24"/>
        </w:rPr>
        <w:t>ed through (over)thinking-the-animal.”</w:t>
      </w:r>
      <w:r w:rsidRPr="00CF3CF7">
        <w:rPr>
          <w:rFonts w:ascii="Times New Roman" w:hAnsi="Times New Roman"/>
          <w:sz w:val="24"/>
          <w:szCs w:val="24"/>
        </w:rPr>
        <w:t xml:space="preserve"> </w:t>
      </w:r>
      <w:r>
        <w:rPr>
          <w:rFonts w:ascii="Times New Roman" w:hAnsi="Times New Roman"/>
          <w:sz w:val="24"/>
          <w:szCs w:val="24"/>
        </w:rPr>
        <w:t>Ultimately, Houle will argue that “</w:t>
      </w:r>
      <w:r w:rsidRPr="00985103">
        <w:rPr>
          <w:rFonts w:ascii="Times New Roman" w:hAnsi="Times New Roman"/>
          <w:kern w:val="0"/>
          <w:sz w:val="24"/>
          <w:szCs w:val="24"/>
        </w:rPr>
        <w:t>Thinking plant-thoughts shoves</w:t>
      </w:r>
      <w:r>
        <w:rPr>
          <w:rFonts w:ascii="Times New Roman" w:hAnsi="Times New Roman"/>
          <w:kern w:val="0"/>
          <w:sz w:val="24"/>
          <w:szCs w:val="24"/>
        </w:rPr>
        <w:t xml:space="preserve"> us in a </w:t>
      </w:r>
      <w:r>
        <w:rPr>
          <w:rFonts w:ascii="Times New Roman" w:hAnsi="Times New Roman"/>
          <w:i/>
          <w:kern w:val="0"/>
          <w:sz w:val="24"/>
          <w:szCs w:val="24"/>
        </w:rPr>
        <w:t>better</w:t>
      </w:r>
      <w:r>
        <w:rPr>
          <w:rFonts w:ascii="Times New Roman" w:hAnsi="Times New Roman"/>
          <w:kern w:val="0"/>
          <w:sz w:val="24"/>
          <w:szCs w:val="24"/>
        </w:rPr>
        <w:t xml:space="preserve"> way </w:t>
      </w:r>
      <w:r w:rsidRPr="00985103">
        <w:rPr>
          <w:rFonts w:ascii="Times New Roman" w:hAnsi="Times New Roman"/>
          <w:kern w:val="0"/>
          <w:sz w:val="24"/>
          <w:szCs w:val="24"/>
        </w:rPr>
        <w:t>than thinking animal-thoughts does, to</w:t>
      </w:r>
      <w:r>
        <w:rPr>
          <w:rFonts w:ascii="Times New Roman" w:hAnsi="Times New Roman"/>
          <w:kern w:val="0"/>
          <w:sz w:val="24"/>
          <w:szCs w:val="24"/>
        </w:rPr>
        <w:t xml:space="preserve">ward </w:t>
      </w:r>
      <w:r w:rsidRPr="00985103">
        <w:rPr>
          <w:rFonts w:ascii="Times New Roman" w:hAnsi="Times New Roman"/>
          <w:kern w:val="0"/>
          <w:sz w:val="24"/>
          <w:szCs w:val="24"/>
        </w:rPr>
        <w:t>the truth that the “correct unit” of analysis is not the individual</w:t>
      </w:r>
      <w:r>
        <w:rPr>
          <w:rFonts w:ascii="Times New Roman" w:hAnsi="Times New Roman"/>
          <w:kern w:val="0"/>
          <w:sz w:val="24"/>
          <w:szCs w:val="24"/>
        </w:rPr>
        <w:t>,</w:t>
      </w:r>
      <w:r w:rsidRPr="00985103">
        <w:rPr>
          <w:rFonts w:ascii="Times New Roman" w:hAnsi="Times New Roman"/>
          <w:kern w:val="0"/>
          <w:sz w:val="24"/>
          <w:szCs w:val="24"/>
        </w:rPr>
        <w:t xml:space="preserve"> </w:t>
      </w:r>
      <w:r>
        <w:rPr>
          <w:rFonts w:ascii="Times New Roman" w:hAnsi="Times New Roman"/>
          <w:kern w:val="0"/>
          <w:sz w:val="24"/>
          <w:szCs w:val="24"/>
        </w:rPr>
        <w:t>n</w:t>
      </w:r>
      <w:r w:rsidRPr="00985103">
        <w:rPr>
          <w:rFonts w:ascii="Times New Roman" w:hAnsi="Times New Roman"/>
          <w:kern w:val="0"/>
          <w:sz w:val="24"/>
          <w:szCs w:val="24"/>
        </w:rPr>
        <w:t>or the dyad</w:t>
      </w:r>
      <w:r>
        <w:rPr>
          <w:rFonts w:ascii="Times New Roman" w:hAnsi="Times New Roman"/>
          <w:kern w:val="0"/>
          <w:sz w:val="24"/>
          <w:szCs w:val="24"/>
        </w:rPr>
        <w:t>, but ‘</w:t>
      </w:r>
      <w:r w:rsidRPr="00985103">
        <w:rPr>
          <w:rFonts w:ascii="Times New Roman" w:hAnsi="Times New Roman"/>
          <w:kern w:val="0"/>
          <w:sz w:val="24"/>
          <w:szCs w:val="24"/>
        </w:rPr>
        <w:t>the assemblage.</w:t>
      </w:r>
      <w:r>
        <w:rPr>
          <w:rFonts w:ascii="Times New Roman" w:hAnsi="Times New Roman"/>
          <w:kern w:val="0"/>
          <w:sz w:val="24"/>
          <w:szCs w:val="24"/>
        </w:rPr>
        <w:t>’” Thinking plant, Houle contends, helps us to “re-imagine Life” in terms of radical kinships rather than resemblances, and this, she concludes, has “massive political and ethical implications.”</w:t>
      </w:r>
    </w:p>
    <w:p w:rsidR="0067706A" w:rsidRDefault="0067706A" w:rsidP="0067706A">
      <w:pPr>
        <w:rPr>
          <w:rFonts w:cs="Times New Roman"/>
          <w:b/>
          <w:szCs w:val="24"/>
        </w:rPr>
      </w:pPr>
    </w:p>
    <w:p w:rsidR="0067706A" w:rsidRPr="00E366E5" w:rsidRDefault="0067706A" w:rsidP="0067706A">
      <w:pPr>
        <w:rPr>
          <w:rFonts w:cs="Times New Roman"/>
          <w:szCs w:val="24"/>
        </w:rPr>
      </w:pPr>
      <w:r w:rsidRPr="001F4CB1">
        <w:rPr>
          <w:rFonts w:cs="Times New Roman"/>
          <w:b/>
          <w:szCs w:val="24"/>
        </w:rPr>
        <w:t>Astrida Neimanis</w:t>
      </w:r>
      <w:r>
        <w:rPr>
          <w:rFonts w:cs="Times New Roman"/>
          <w:szCs w:val="24"/>
        </w:rPr>
        <w:t xml:space="preserve">’ article, “Strange Kinship and Ascidian Life: 13 Repetitions,” is the last of three papers included in this issue that is primarily inspired by the writings of Deleuze and Guattari, and the first of two papers devoted to oceanic life.  Like Houle, Neimanis notes that the usual ways of thinking about animals, and animal ethics, can only take us so far. While traditionally humans and other animals have been compared and contrasted to stress difference and human exceptionalism, critical animal theorists such as Haraway continue to compare and contrast human and nonhuman fauna, but now to highlight affinities, resemblances and kinships. While this strategy may occasionally result in increased compassion for exemplary members of specific species—Neimanis discusses cetaceans, with their mammalian babies, their music-making, and their “red beating hearts, like ours, just as susceptible to </w:t>
      </w:r>
      <w:r>
        <w:rPr>
          <w:rFonts w:cs="Times New Roman"/>
          <w:szCs w:val="24"/>
        </w:rPr>
        <w:lastRenderedPageBreak/>
        <w:t xml:space="preserve">being broken”—it ultimately does little more than to extend human exceptionalism to a few other species (Neimanis invokes “human exceptionalism in whales’ clothing”), and does not even begin to capture the complexity of interspecies relations. While Houle consequently turns from animal thoughts to thinking plant, Neimanis tarries with </w:t>
      </w:r>
      <w:r w:rsidR="007F69C3">
        <w:rPr>
          <w:rFonts w:cs="Times New Roman"/>
          <w:szCs w:val="24"/>
        </w:rPr>
        <w:t xml:space="preserve">the </w:t>
      </w:r>
      <w:r>
        <w:rPr>
          <w:rFonts w:cs="Times New Roman"/>
          <w:szCs w:val="24"/>
        </w:rPr>
        <w:t xml:space="preserve">animal but strives, through the Merleau-Pontyian notion of “interanimality” and the Deleuzian concept of repetition, to think animality otherwise. Deleuzian repetition is not resemblance, but involves echoes and iterations that may be so distorted and refracted that we are disturbed at recognizing ourselves in them. The concept of repetition thus allows us to simultaneously see our relations with other animals and to make these relations strange, entailing both connectedness and difference. The ways we repeat other animals, Neimanis argues, establish kinship, as Merleau-Ponty would suggest, but strange kinships. Seeing the ways that we repeat other animals is also notable in that it displaces the human as the reference point of comparison. Neimanis takes human-sea squirt repetitions as her sustained example. Unlike the whale—or the ape, the dog, the lactating cow—ascidiacea are not creatures with whom we feel a ready kinship or an easy ethics of affinity, and yet through the thirteen repetitions which make up the second half of her paper, Neimanis establishes a complex web of echoes between ascidian life and our own. As Neimanis notes, </w:t>
      </w:r>
      <w:r>
        <w:rPr>
          <w:szCs w:val="24"/>
        </w:rPr>
        <w:t>“</w:t>
      </w:r>
      <w:r w:rsidRPr="006B2638">
        <w:rPr>
          <w:szCs w:val="24"/>
        </w:rPr>
        <w:t>From such an inventory, no easy ethical formulations can follow. But perhaps the work of problematizing our own human subjectivity within any formulation of animal ethics is an on-going project, and one more complex than gives us comfort.</w:t>
      </w:r>
      <w:r>
        <w:rPr>
          <w:szCs w:val="24"/>
        </w:rPr>
        <w:t>”</w:t>
      </w:r>
      <w:r w:rsidRPr="006B2638">
        <w:rPr>
          <w:szCs w:val="24"/>
        </w:rPr>
        <w:t xml:space="preserve"> </w:t>
      </w:r>
    </w:p>
    <w:p w:rsidR="0067706A" w:rsidRDefault="0067706A" w:rsidP="0067706A">
      <w:pPr>
        <w:rPr>
          <w:rFonts w:cs="Times New Roman"/>
          <w:szCs w:val="24"/>
        </w:rPr>
      </w:pPr>
    </w:p>
    <w:p w:rsidR="0067706A" w:rsidRPr="009910AE" w:rsidRDefault="0067706A" w:rsidP="0067706A">
      <w:pPr>
        <w:rPr>
          <w:rFonts w:cs="Times New Roman"/>
          <w:szCs w:val="24"/>
        </w:rPr>
      </w:pPr>
      <w:r>
        <w:rPr>
          <w:rFonts w:cs="Times New Roman"/>
          <w:szCs w:val="24"/>
        </w:rPr>
        <w:t>It has</w:t>
      </w:r>
      <w:r w:rsidR="009E3B8E">
        <w:rPr>
          <w:rFonts w:cs="Times New Roman"/>
          <w:szCs w:val="24"/>
        </w:rPr>
        <w:t xml:space="preserve"> sometimes been suggested that </w:t>
      </w:r>
      <w:r>
        <w:rPr>
          <w:rFonts w:cs="Times New Roman"/>
          <w:szCs w:val="24"/>
        </w:rPr>
        <w:t xml:space="preserve">continental philosophy lagged behind anglo-American philosophy in </w:t>
      </w:r>
      <w:r w:rsidRPr="009F0843">
        <w:rPr>
          <w:rFonts w:cs="Times New Roman"/>
          <w:szCs w:val="24"/>
        </w:rPr>
        <w:t>theorizing</w:t>
      </w:r>
      <w:r>
        <w:rPr>
          <w:rFonts w:cs="Times New Roman"/>
          <w:szCs w:val="24"/>
        </w:rPr>
        <w:t xml:space="preserve"> the nonhuman because both phenomenology and post-structuralism are irremediably about the human. In the case of phenomenology, the methodological privileging of the first person perspective of the philosopher appears to require an anthropocentric outlook. It is precisely this claim that </w:t>
      </w:r>
      <w:r w:rsidRPr="009F0843">
        <w:rPr>
          <w:rFonts w:cs="Times New Roman"/>
          <w:b/>
          <w:szCs w:val="24"/>
        </w:rPr>
        <w:t>Jennifer McWeeny</w:t>
      </w:r>
      <w:r>
        <w:rPr>
          <w:rFonts w:cs="Times New Roman"/>
          <w:szCs w:val="24"/>
        </w:rPr>
        <w:t xml:space="preserve"> challenges in her article, “Sounding Depth with the North Atlantic Right Whale and Merleau-Ponty.” As McWeeny argues, </w:t>
      </w:r>
      <w:r w:rsidRPr="009F1631">
        <w:rPr>
          <w:rFonts w:cs="Times New Roman"/>
          <w:szCs w:val="24"/>
        </w:rPr>
        <w:t xml:space="preserve">“If it is the fact of having a system of relating to the world—a body—that allows for the possibility of intersubjectivity, then the right whale body-subject is potentially just as worthy of our phenomenological gaze as human-body subjects like Schneider, the war veteran with brain damage whom Merleau-Ponty returns to again and again in the </w:t>
      </w:r>
      <w:r w:rsidRPr="009F1631">
        <w:rPr>
          <w:rFonts w:cs="Times New Roman"/>
          <w:i/>
          <w:szCs w:val="24"/>
        </w:rPr>
        <w:t>Phenomenology of Perception</w:t>
      </w:r>
      <w:r w:rsidRPr="009F1631">
        <w:rPr>
          <w:rFonts w:cs="Times New Roman"/>
          <w:szCs w:val="24"/>
        </w:rPr>
        <w:t xml:space="preserve">.” </w:t>
      </w:r>
      <w:r>
        <w:rPr>
          <w:rFonts w:cs="Times New Roman"/>
          <w:szCs w:val="24"/>
        </w:rPr>
        <w:t xml:space="preserve">In this piece, McWeeny expands upon the work of Merleau-Ponty in </w:t>
      </w:r>
      <w:r>
        <w:rPr>
          <w:rFonts w:cs="Times New Roman"/>
          <w:szCs w:val="24"/>
        </w:rPr>
        <w:lastRenderedPageBreak/>
        <w:t>order to argue that by placing the experience of the endangered North Atlantic right whale at the centre of a study of depth, we gain a richer understanding of the experience of depth—which Merleau-Ponty considered the “primordial” orientation—and intercorporeality, than we would have if we were restricted to human experience. As McWeeny contends,</w:t>
      </w:r>
      <w:r w:rsidRPr="008B5A21">
        <w:rPr>
          <w:rFonts w:cs="Times New Roman"/>
          <w:szCs w:val="24"/>
        </w:rPr>
        <w:t xml:space="preserve"> “</w:t>
      </w:r>
      <w:r w:rsidRPr="008B5A21">
        <w:rPr>
          <w:rFonts w:cs="Times New Roman"/>
          <w:bCs/>
          <w:color w:val="000000"/>
          <w:szCs w:val="24"/>
        </w:rPr>
        <w:t xml:space="preserve">The North Atlantic right whale enhances Merleau-Ponty’s analysis of depth by emphasizing the relational aspects of existence that are often latent in human experience: the subject’s immersion in a relational medium, the way depth is organism/environment relationships, and depth’s temporal dimension. Most importantly, the fact that right whale bodies are endangered—and specifically that they are endangered </w:t>
      </w:r>
      <w:r w:rsidRPr="008B5A21">
        <w:rPr>
          <w:rFonts w:cs="Times New Roman"/>
          <w:bCs/>
          <w:i/>
          <w:color w:val="000000"/>
          <w:szCs w:val="24"/>
        </w:rPr>
        <w:t>by us</w:t>
      </w:r>
      <w:r w:rsidRPr="008B5A21">
        <w:rPr>
          <w:rFonts w:cs="Times New Roman"/>
          <w:bCs/>
          <w:color w:val="000000"/>
          <w:szCs w:val="24"/>
        </w:rPr>
        <w:t>—brings into stark relief the relational nature of all of our existences.”</w:t>
      </w:r>
      <w:r>
        <w:rPr>
          <w:bCs/>
          <w:color w:val="000000"/>
        </w:rPr>
        <w:t xml:space="preserve"> </w:t>
      </w:r>
      <w:r>
        <w:rPr>
          <w:rFonts w:cs="Times New Roman"/>
          <w:szCs w:val="24"/>
        </w:rPr>
        <w:t>In so arguing, McWeeny does not follow other scholars in using Merleau-Ponty’s thought to elucidate our relation to the nonhuman environment, but, in a reverse move, draws on the nonhuman—and the North Atlantic right whale in particular—in order to elucidate key concepts in Merleau-Ponty’s ontology. This phenomenology of depth via the North Atlantic right whale is not merely of importance in understanding Merleau-Ponty, moreover, and nor is it distinct from the ethical questions raised by McWeeny’s discussion of the North Atlantic right whale’s current situation. On the contrary, McWeeny persuasively argues that “</w:t>
      </w:r>
      <w:r w:rsidRPr="002E45B2">
        <w:rPr>
          <w:rFonts w:cs="Times New Roman"/>
          <w:szCs w:val="24"/>
        </w:rPr>
        <w:t>Centering the endangered bodies of North Atlantic right whales in our study of depth also encourages us to envision an environmentalist future that is grounded in our recognition of the sensuous cartography of human/nonhuman relations in which we are always already positioned participants.</w:t>
      </w:r>
      <w:r>
        <w:rPr>
          <w:rFonts w:cs="Times New Roman"/>
          <w:szCs w:val="24"/>
        </w:rPr>
        <w:t>”</w:t>
      </w:r>
    </w:p>
    <w:p w:rsidR="0067706A" w:rsidRDefault="0067706A" w:rsidP="0067706A">
      <w:pPr>
        <w:rPr>
          <w:rFonts w:cs="Times New Roman"/>
          <w:szCs w:val="24"/>
        </w:rPr>
      </w:pPr>
    </w:p>
    <w:p w:rsidR="0067706A" w:rsidRPr="001979F6" w:rsidRDefault="0067706A" w:rsidP="0067706A">
      <w:pPr>
        <w:contextualSpacing/>
      </w:pPr>
      <w:r>
        <w:rPr>
          <w:rFonts w:cs="Times New Roman"/>
          <w:szCs w:val="24"/>
        </w:rPr>
        <w:t xml:space="preserve">With </w:t>
      </w:r>
      <w:r w:rsidRPr="00D5684F">
        <w:rPr>
          <w:rFonts w:cs="Times New Roman"/>
          <w:b/>
          <w:szCs w:val="24"/>
        </w:rPr>
        <w:t>Sarah Hansen</w:t>
      </w:r>
      <w:r>
        <w:rPr>
          <w:rFonts w:cs="Times New Roman"/>
          <w:szCs w:val="24"/>
        </w:rPr>
        <w:t xml:space="preserve">’s article, </w:t>
      </w:r>
      <w:r w:rsidRPr="001979F6">
        <w:rPr>
          <w:rFonts w:cs="Times New Roman"/>
          <w:szCs w:val="24"/>
        </w:rPr>
        <w:t>“Infancy, Animality, and the Limits of Language in the Work of Giorgio Agamben,” we move from oceanic to amphibian life, and the first of two papers to pursue the theme of vulnerability. As Hansen observes, “Agamben’s recurrent figure of infantile potentiality</w:t>
      </w:r>
      <w:r>
        <w:rPr>
          <w:rFonts w:cs="Times New Roman"/>
          <w:szCs w:val="24"/>
        </w:rPr>
        <w:t xml:space="preserve">” </w:t>
      </w:r>
      <w:r w:rsidRPr="001979F6">
        <w:rPr>
          <w:rFonts w:cs="Times New Roman"/>
          <w:szCs w:val="24"/>
        </w:rPr>
        <w:t xml:space="preserve">is the </w:t>
      </w:r>
      <w:r w:rsidRPr="001979F6">
        <w:rPr>
          <w:rFonts w:cs="Times New Roman"/>
          <w:i/>
          <w:szCs w:val="24"/>
        </w:rPr>
        <w:t>axolotl</w:t>
      </w:r>
      <w:r w:rsidRPr="001979F6">
        <w:rPr>
          <w:rFonts w:cs="Times New Roman"/>
          <w:szCs w:val="24"/>
        </w:rPr>
        <w:t xml:space="preserve">, or </w:t>
      </w:r>
      <w:r>
        <w:rPr>
          <w:rFonts w:cs="Times New Roman"/>
          <w:szCs w:val="24"/>
        </w:rPr>
        <w:t>the “‘Mexican walking fish,’</w:t>
      </w:r>
      <w:r w:rsidRPr="001979F6">
        <w:rPr>
          <w:rFonts w:cs="Times New Roman"/>
          <w:szCs w:val="24"/>
        </w:rPr>
        <w:t xml:space="preserve"> an amphibian that retains juvenile characteristics (gills) even after the development of adult traits (lungs and reproductive organs). With this figure of an “eternal child,” Agamben suggests that a new relation between human and non-human animals might emerge via a new childlike experience of language.” </w:t>
      </w:r>
      <w:r>
        <w:rPr>
          <w:rFonts w:cs="Times New Roman"/>
          <w:szCs w:val="24"/>
        </w:rPr>
        <w:t xml:space="preserve">Via the figure of the </w:t>
      </w:r>
      <w:r w:rsidRPr="003B7B48">
        <w:rPr>
          <w:rFonts w:cs="Times New Roman"/>
          <w:i/>
          <w:szCs w:val="24"/>
        </w:rPr>
        <w:t>axolotl</w:t>
      </w:r>
      <w:r>
        <w:rPr>
          <w:rFonts w:cs="Times New Roman"/>
          <w:szCs w:val="24"/>
        </w:rPr>
        <w:t xml:space="preserve">, Hansen’s paper entails a study not only of Giorgio Agamben’s </w:t>
      </w:r>
      <w:r w:rsidRPr="003B7B48">
        <w:rPr>
          <w:rFonts w:cs="Times New Roman"/>
          <w:i/>
          <w:szCs w:val="24"/>
        </w:rPr>
        <w:t>The Open</w:t>
      </w:r>
      <w:r>
        <w:rPr>
          <w:rFonts w:cs="Times New Roman"/>
          <w:szCs w:val="24"/>
        </w:rPr>
        <w:t xml:space="preserve">—a text which, she notes, has already become a classic in critical animal studies—but, more unusually, a reading of this text alongside Agamben’s writings on </w:t>
      </w:r>
      <w:r>
        <w:rPr>
          <w:rFonts w:cs="Times New Roman"/>
          <w:szCs w:val="24"/>
        </w:rPr>
        <w:lastRenderedPageBreak/>
        <w:t xml:space="preserve">infancy in works such as </w:t>
      </w:r>
      <w:r w:rsidRPr="008768AE">
        <w:rPr>
          <w:rFonts w:cs="Times New Roman"/>
          <w:i/>
          <w:szCs w:val="24"/>
        </w:rPr>
        <w:t>Infancy and History</w:t>
      </w:r>
      <w:r w:rsidRPr="008768AE">
        <w:rPr>
          <w:rFonts w:cs="Times New Roman"/>
          <w:szCs w:val="24"/>
        </w:rPr>
        <w:t xml:space="preserve">, </w:t>
      </w:r>
      <w:r w:rsidRPr="008768AE">
        <w:rPr>
          <w:rFonts w:cs="Times New Roman"/>
          <w:i/>
          <w:szCs w:val="24"/>
        </w:rPr>
        <w:t>Language and Death</w:t>
      </w:r>
      <w:r w:rsidRPr="008768AE">
        <w:rPr>
          <w:rFonts w:cs="Times New Roman"/>
          <w:szCs w:val="24"/>
        </w:rPr>
        <w:t xml:space="preserve">, </w:t>
      </w:r>
      <w:r w:rsidRPr="008768AE">
        <w:rPr>
          <w:rFonts w:cs="Times New Roman"/>
          <w:i/>
          <w:szCs w:val="24"/>
        </w:rPr>
        <w:t>The Idea of Prose</w:t>
      </w:r>
      <w:r w:rsidRPr="008768AE">
        <w:rPr>
          <w:rFonts w:cs="Times New Roman"/>
          <w:szCs w:val="24"/>
        </w:rPr>
        <w:t xml:space="preserve"> and the </w:t>
      </w:r>
      <w:r w:rsidRPr="008768AE">
        <w:rPr>
          <w:rFonts w:cs="Times New Roman"/>
          <w:i/>
          <w:szCs w:val="24"/>
        </w:rPr>
        <w:t>Homo Sacer</w:t>
      </w:r>
      <w:r w:rsidRPr="008768AE">
        <w:rPr>
          <w:rFonts w:cs="Times New Roman"/>
          <w:szCs w:val="24"/>
        </w:rPr>
        <w:t xml:space="preserve"> series</w:t>
      </w:r>
      <w:r>
        <w:rPr>
          <w:rFonts w:cs="Times New Roman"/>
          <w:szCs w:val="24"/>
        </w:rPr>
        <w:t xml:space="preserve">. </w:t>
      </w:r>
      <w:r w:rsidRPr="001979F6">
        <w:rPr>
          <w:rFonts w:cs="Times New Roman"/>
          <w:szCs w:val="24"/>
        </w:rPr>
        <w:t xml:space="preserve">Hansen </w:t>
      </w:r>
      <w:r>
        <w:rPr>
          <w:rFonts w:cs="Times New Roman"/>
          <w:szCs w:val="24"/>
        </w:rPr>
        <w:t xml:space="preserve">contrasts Agamben’s discussion of the infantile with Judith Butler’s and Julia Kristeva’s work on vulnerability in so far as </w:t>
      </w:r>
      <w:r w:rsidRPr="001979F6">
        <w:rPr>
          <w:rFonts w:cs="Times New Roman"/>
          <w:szCs w:val="24"/>
        </w:rPr>
        <w:t xml:space="preserve">Agamben’s idea of the </w:t>
      </w:r>
      <w:r w:rsidRPr="003176EE">
        <w:rPr>
          <w:rFonts w:cs="Times New Roman"/>
          <w:i/>
          <w:szCs w:val="24"/>
        </w:rPr>
        <w:t>axolotl</w:t>
      </w:r>
      <w:r>
        <w:rPr>
          <w:rFonts w:cs="Times New Roman"/>
          <w:szCs w:val="24"/>
        </w:rPr>
        <w:t xml:space="preserve"> is of a curiously</w:t>
      </w:r>
      <w:r w:rsidRPr="001979F6">
        <w:rPr>
          <w:rFonts w:cs="Times New Roman"/>
          <w:szCs w:val="24"/>
        </w:rPr>
        <w:t xml:space="preserve"> independent infantilism, denying rel</w:t>
      </w:r>
      <w:r>
        <w:rPr>
          <w:rFonts w:cs="Times New Roman"/>
          <w:szCs w:val="24"/>
        </w:rPr>
        <w:t>ations of dependency on maternal bodies that the work of these feminist scholars highlight. Like Kristeva and Butler, however, Agamben’s notion of infancy also denies relations of dependency with</w:t>
      </w:r>
      <w:r w:rsidRPr="001979F6">
        <w:rPr>
          <w:rFonts w:cs="Times New Roman"/>
          <w:szCs w:val="24"/>
        </w:rPr>
        <w:t xml:space="preserve"> other animals. Hansen </w:t>
      </w:r>
      <w:r>
        <w:rPr>
          <w:rFonts w:cs="Times New Roman"/>
          <w:szCs w:val="24"/>
        </w:rPr>
        <w:t xml:space="preserve">thus </w:t>
      </w:r>
      <w:r w:rsidRPr="001979F6">
        <w:rPr>
          <w:rFonts w:cs="Times New Roman"/>
          <w:szCs w:val="24"/>
        </w:rPr>
        <w:t xml:space="preserve">critiques Agamben, arguing that “To transform relations between human and non-human animals Agamben must attend to the vulnerable, dependent, </w:t>
      </w:r>
      <w:r w:rsidRPr="001979F6">
        <w:rPr>
          <w:rFonts w:cs="Times New Roman"/>
          <w:i/>
          <w:szCs w:val="24"/>
        </w:rPr>
        <w:t>risky</w:t>
      </w:r>
      <w:r w:rsidRPr="001979F6">
        <w:rPr>
          <w:rFonts w:cs="Times New Roman"/>
          <w:szCs w:val="24"/>
        </w:rPr>
        <w:t xml:space="preserve"> relations-with-others that co</w:t>
      </w:r>
      <w:r>
        <w:rPr>
          <w:rFonts w:cs="Times New Roman"/>
          <w:szCs w:val="24"/>
        </w:rPr>
        <w:t>ndition experiences of language.</w:t>
      </w:r>
      <w:r w:rsidRPr="001979F6">
        <w:rPr>
          <w:rFonts w:cs="Times New Roman"/>
          <w:szCs w:val="24"/>
        </w:rPr>
        <w:t>”</w:t>
      </w:r>
      <w:r>
        <w:rPr>
          <w:rFonts w:cs="Times New Roman"/>
          <w:szCs w:val="24"/>
        </w:rPr>
        <w:t xml:space="preserve"> While Agamben has frequently been criticized for his anthropocentrism, Hansen also observes his androcentrism, and argues that </w:t>
      </w:r>
      <w:r w:rsidRPr="003176EE">
        <w:rPr>
          <w:rFonts w:cs="Times New Roman"/>
          <w:szCs w:val="24"/>
        </w:rPr>
        <w:t>“a stronger reproach of Agamben is in order. As a new figure and experience of language, infancy does not simply forego the “question of the animal” as much as it renders a more expansive and non-violent response to that question more difficult to achieve.”</w:t>
      </w:r>
      <w:r w:rsidRPr="009B0FA9">
        <w:t xml:space="preserve"> </w:t>
      </w:r>
    </w:p>
    <w:p w:rsidR="0067706A" w:rsidRPr="00A10DE5" w:rsidRDefault="0067706A" w:rsidP="0067706A">
      <w:pPr>
        <w:rPr>
          <w:rFonts w:cs="Times New Roman"/>
          <w:szCs w:val="24"/>
        </w:rPr>
      </w:pPr>
    </w:p>
    <w:p w:rsidR="0067706A" w:rsidRPr="009012DF" w:rsidRDefault="0067706A" w:rsidP="0067706A">
      <w:pPr>
        <w:rPr>
          <w:rFonts w:cs="Times New Roman"/>
          <w:szCs w:val="24"/>
        </w:rPr>
      </w:pPr>
      <w:r w:rsidRPr="00073192">
        <w:rPr>
          <w:rFonts w:cs="Times New Roman"/>
          <w:b/>
          <w:szCs w:val="24"/>
        </w:rPr>
        <w:t>Stephen Thierman</w:t>
      </w:r>
      <w:r>
        <w:rPr>
          <w:rFonts w:cs="Times New Roman"/>
          <w:szCs w:val="24"/>
        </w:rPr>
        <w:t>’s article, “The Vulnerability of Other Animals,” starts with the argument that, in contrast to rationality and autonomy, vulnerability has been a neglected concept in moral philosophy precisely because philosophers have been reluctant to explore the “animal” dimensions of human existence. It is ironic, therefore, that the few philosophers who have made vulnerability central to their moral theorizing in recent years have, for the most part, either neglected to consider vulnerability as a shared condition amongst animal (and perhaps not only animal) species (Judith Butler), or, as in the cases that Thierman explores, have explicitly or implicitly denied that non-human animals are vuln</w:t>
      </w:r>
      <w:r w:rsidRPr="00346192">
        <w:rPr>
          <w:rFonts w:cs="Times New Roman"/>
          <w:szCs w:val="24"/>
        </w:rPr>
        <w:t>erable in the same ways that humans are</w:t>
      </w:r>
      <w:r>
        <w:rPr>
          <w:rFonts w:cs="Times New Roman"/>
          <w:szCs w:val="24"/>
        </w:rPr>
        <w:t xml:space="preserve"> (</w:t>
      </w:r>
      <w:r w:rsidRPr="00346192">
        <w:rPr>
          <w:rFonts w:eastAsia="Calibri" w:cs="Times New Roman"/>
          <w:szCs w:val="24"/>
        </w:rPr>
        <w:t>Michael Kottow, Margrit Shildrik, and Bryan Turner</w:t>
      </w:r>
      <w:r>
        <w:rPr>
          <w:rFonts w:cs="Times New Roman"/>
          <w:szCs w:val="24"/>
        </w:rPr>
        <w:t xml:space="preserve">). For Kottow, nonhuman animals are only vulnerable in the sense that they may die, but only humans are vulnerable because their pursuit of the good and their life projects may be prevented from being realized. According to Kottow, this distinction in kinds of vulnerability limits our ethical responsibilities towards nonhuman animals. For Shildrik, nonhuman animals are entirely other and thus do not invoke in us a sense of our vulnerability in the way that monsters (such as human-animal hybrids) do. Conceived as absolute difference, the animal not only falls outside the sphere of vulnerability, but possibly also of ethics on Shildrik’s view. While Brian Turner </w:t>
      </w:r>
      <w:r>
        <w:rPr>
          <w:rFonts w:cs="Times New Roman"/>
          <w:szCs w:val="24"/>
        </w:rPr>
        <w:lastRenderedPageBreak/>
        <w:t>attempts to ground human rights in a shared corporeal vulnerability that characterizes all humans, when pushed to extend these rights to include other animals, he argues that other animals do not have the same rights because they are not moral agents or cannot represent themselves. As Thierman points out, Turner thus makes agency and self-representation more fundamental to his theory of rights than vulnerability, thus undermining what he has ostensibly set out to do. As Thierman argues, Turner would have done better to expand his ethics to include other animals, rather than to delimit it via an argument that contradicts the basic features of his own moral</w:t>
      </w:r>
      <w:r w:rsidR="00ED4FD7">
        <w:rPr>
          <w:rFonts w:cs="Times New Roman"/>
          <w:szCs w:val="24"/>
        </w:rPr>
        <w:t xml:space="preserve"> position</w:t>
      </w:r>
      <w:r>
        <w:rPr>
          <w:rFonts w:cs="Times New Roman"/>
          <w:szCs w:val="24"/>
        </w:rPr>
        <w:t>. Offering persuasive refutations of not only Turner’s but also Shildrik’s and Kottow’s exclusions of nonhuman animals from their accounts of vulnerability (to which he is otherwise sympathetic), Thierman draws on Jacques Derrida’s late work in order to describe vulnerability as a form of passivity that characterizes all animals. Despite Jeremy Bentham’s famous argument that what matters is whether an animal “</w:t>
      </w:r>
      <w:r w:rsidRPr="00991DA6">
        <w:rPr>
          <w:rFonts w:cs="Times New Roman"/>
          <w:i/>
          <w:szCs w:val="24"/>
        </w:rPr>
        <w:t>can</w:t>
      </w:r>
      <w:r>
        <w:rPr>
          <w:rFonts w:cs="Times New Roman"/>
          <w:szCs w:val="24"/>
        </w:rPr>
        <w:t xml:space="preserve"> suffer” (as opposed to reason or talk), vulnerability is in fact the condition in which one </w:t>
      </w:r>
      <w:r w:rsidRPr="00991DA6">
        <w:rPr>
          <w:rFonts w:cs="Times New Roman"/>
          <w:i/>
          <w:szCs w:val="24"/>
        </w:rPr>
        <w:t>cannot not</w:t>
      </w:r>
      <w:r>
        <w:rPr>
          <w:rFonts w:cs="Times New Roman"/>
          <w:szCs w:val="24"/>
        </w:rPr>
        <w:t xml:space="preserve"> suffer should suffering be inflicted on one. This powerlessness to avoid suffering is characteristic of all animal species, Thierman argues, even if  some are more vulnerable than others both within the human species and across species. Despite this status as a non-power or an inability, Thierman insists that vulnerability not be seen in an entirely negative light, but that it be seen as an aspect of the animal condition that may be a resource for ethical response. Thierman concludes his article with an account and endorsement of Ralph Acampora’s work on symphysics. Symphysics, Thierman explains,</w:t>
      </w:r>
      <w:r w:rsidRPr="009012DF">
        <w:rPr>
          <w:rFonts w:cs="Times New Roman"/>
          <w:szCs w:val="24"/>
        </w:rPr>
        <w:t xml:space="preserve"> </w:t>
      </w:r>
      <w:r>
        <w:rPr>
          <w:rFonts w:cs="Times New Roman"/>
          <w:szCs w:val="24"/>
        </w:rPr>
        <w:t>“is felt in the body</w:t>
      </w:r>
      <w:r w:rsidRPr="009012DF">
        <w:rPr>
          <w:rFonts w:cs="Times New Roman"/>
          <w:szCs w:val="24"/>
        </w:rPr>
        <w:t xml:space="preserve"> as an awareness of the vulnerability that I share with an embodied other</w:t>
      </w:r>
      <w:r>
        <w:rPr>
          <w:rFonts w:cs="Times New Roman"/>
          <w:szCs w:val="24"/>
        </w:rPr>
        <w:t xml:space="preserve">.” With this notion, Thierman suggests that Acampora has developed an ethics of corporeal vulnerability that—unlike those of Kottow, Shildrik and Turner—accounts for our embodied recognition of the vulnerability of other animals.  </w:t>
      </w:r>
    </w:p>
    <w:p w:rsidR="0067706A" w:rsidRDefault="0067706A" w:rsidP="0067706A">
      <w:pPr>
        <w:rPr>
          <w:rFonts w:cs="Times New Roman"/>
          <w:szCs w:val="24"/>
        </w:rPr>
      </w:pPr>
    </w:p>
    <w:p w:rsidR="0067706A" w:rsidRDefault="0067706A" w:rsidP="0067706A">
      <w:pPr>
        <w:rPr>
          <w:rFonts w:cs="Times New Roman"/>
          <w:szCs w:val="24"/>
        </w:rPr>
      </w:pPr>
      <w:r>
        <w:rPr>
          <w:rFonts w:cs="Times New Roman"/>
          <w:szCs w:val="24"/>
        </w:rPr>
        <w:t xml:space="preserve">Like Thierman, </w:t>
      </w:r>
      <w:r w:rsidRPr="004574EA">
        <w:rPr>
          <w:rFonts w:cs="Times New Roman"/>
          <w:b/>
          <w:szCs w:val="24"/>
        </w:rPr>
        <w:t>Rebecca Tuvel</w:t>
      </w:r>
      <w:r>
        <w:rPr>
          <w:rFonts w:cs="Times New Roman"/>
          <w:szCs w:val="24"/>
        </w:rPr>
        <w:t xml:space="preserve"> takes inspiration from Derrida’s “The Animal that Therefore I am (More to Follow)” in her contribution to this issue. In “’Veil of Shame’: Derrida, Sarah Bartmann and Animality,” Tuvel d</w:t>
      </w:r>
      <w:r w:rsidRPr="00A10DE5">
        <w:rPr>
          <w:rFonts w:cs="Times New Roman"/>
          <w:szCs w:val="24"/>
        </w:rPr>
        <w:t xml:space="preserve">eftly </w:t>
      </w:r>
      <w:r>
        <w:rPr>
          <w:rFonts w:cs="Times New Roman"/>
          <w:szCs w:val="24"/>
        </w:rPr>
        <w:t>weaves</w:t>
      </w:r>
      <w:r w:rsidRPr="00A10DE5">
        <w:rPr>
          <w:rFonts w:cs="Times New Roman"/>
          <w:szCs w:val="24"/>
        </w:rPr>
        <w:t xml:space="preserve"> the themes of nakedness and shame</w:t>
      </w:r>
      <w:r>
        <w:rPr>
          <w:rFonts w:cs="Times New Roman"/>
          <w:szCs w:val="24"/>
        </w:rPr>
        <w:t xml:space="preserve"> through a sophisticated analysis of animality and oppression: Jacques</w:t>
      </w:r>
      <w:r w:rsidRPr="00A10DE5">
        <w:rPr>
          <w:rFonts w:cs="Times New Roman"/>
          <w:szCs w:val="24"/>
        </w:rPr>
        <w:t xml:space="preserve"> Derrida’s shame as he stands naked before the gaze of his cat, the shame of Adam and Eve over their nakeness</w:t>
      </w:r>
      <w:r>
        <w:rPr>
          <w:rFonts w:cs="Times New Roman"/>
          <w:szCs w:val="24"/>
        </w:rPr>
        <w:t xml:space="preserve"> in the Garden of Eden</w:t>
      </w:r>
      <w:r w:rsidRPr="00A10DE5">
        <w:rPr>
          <w:rFonts w:cs="Times New Roman"/>
          <w:szCs w:val="24"/>
        </w:rPr>
        <w:t xml:space="preserve">, the supposed shamelessness of </w:t>
      </w:r>
      <w:r>
        <w:rPr>
          <w:rFonts w:cs="Times New Roman"/>
          <w:szCs w:val="24"/>
        </w:rPr>
        <w:t xml:space="preserve">both naked nonhuman animals and naked </w:t>
      </w:r>
      <w:r w:rsidRPr="00A10DE5">
        <w:rPr>
          <w:rFonts w:cs="Times New Roman"/>
          <w:szCs w:val="24"/>
        </w:rPr>
        <w:t>non-European</w:t>
      </w:r>
      <w:r w:rsidR="00487027">
        <w:rPr>
          <w:rFonts w:cs="Times New Roman"/>
          <w:szCs w:val="24"/>
        </w:rPr>
        <w:t xml:space="preserve"> human</w:t>
      </w:r>
      <w:r>
        <w:rPr>
          <w:rFonts w:cs="Times New Roman"/>
          <w:szCs w:val="24"/>
        </w:rPr>
        <w:t>s,</w:t>
      </w:r>
      <w:r w:rsidRPr="00A10DE5">
        <w:rPr>
          <w:rFonts w:cs="Times New Roman"/>
          <w:szCs w:val="24"/>
        </w:rPr>
        <w:t xml:space="preserve"> </w:t>
      </w:r>
      <w:r w:rsidRPr="00A10DE5">
        <w:rPr>
          <w:rFonts w:cs="Times New Roman"/>
          <w:szCs w:val="24"/>
        </w:rPr>
        <w:lastRenderedPageBreak/>
        <w:t xml:space="preserve">and the self-serving truths that a white, masculine science seeks in their undress. </w:t>
      </w:r>
      <w:r>
        <w:rPr>
          <w:rFonts w:cs="Times New Roman"/>
          <w:szCs w:val="24"/>
        </w:rPr>
        <w:t>Working through these narratives, Tuvel takes up Derrida’s argument that the human-animal binary is fundamental and pervasive, preceding us, and that our status as followers of the animal defines our self-understandings, our ontologies of our selves (hence Derrida’s play on “je suis”). Combining Derrida’s insights with those of feminist critical race and critical animal theorists, Tuvel argues that not only does the animal precede and constitute us, but so also does the oppression of other animals precede and shape the various forms of human oppression.</w:t>
      </w:r>
      <w:r w:rsidRPr="00A670D5">
        <w:rPr>
          <w:rFonts w:cs="Times New Roman"/>
          <w:szCs w:val="24"/>
        </w:rPr>
        <w:t xml:space="preserve"> </w:t>
      </w:r>
      <w:r>
        <w:rPr>
          <w:rFonts w:cs="Times New Roman"/>
          <w:szCs w:val="24"/>
        </w:rPr>
        <w:t xml:space="preserve">The human-animal divide and speciesist oppression are thus not just another dichotomy that we </w:t>
      </w:r>
      <w:r w:rsidRPr="007B3B9C">
        <w:rPr>
          <w:rFonts w:cs="Times New Roman"/>
          <w:szCs w:val="24"/>
        </w:rPr>
        <w:t xml:space="preserve">need to deconstruct or </w:t>
      </w:r>
      <w:r>
        <w:rPr>
          <w:rFonts w:cs="Times New Roman"/>
          <w:szCs w:val="24"/>
        </w:rPr>
        <w:t>another</w:t>
      </w:r>
      <w:r w:rsidRPr="007B3B9C">
        <w:rPr>
          <w:rFonts w:cs="Times New Roman"/>
          <w:szCs w:val="24"/>
        </w:rPr>
        <w:t xml:space="preserve"> form of oppression </w:t>
      </w:r>
      <w:r>
        <w:rPr>
          <w:rFonts w:cs="Times New Roman"/>
          <w:szCs w:val="24"/>
        </w:rPr>
        <w:t xml:space="preserve">to which </w:t>
      </w:r>
      <w:r w:rsidRPr="007B3B9C">
        <w:rPr>
          <w:rFonts w:cs="Times New Roman"/>
          <w:szCs w:val="24"/>
        </w:rPr>
        <w:t>we must be attuned, but, in Tuvel’s words, are</w:t>
      </w:r>
      <w:r w:rsidRPr="007B3B9C">
        <w:rPr>
          <w:szCs w:val="24"/>
        </w:rPr>
        <w:t xml:space="preserve"> “the generative site for the deployment of ever new and mutating strategies of oppression.” Consequently, Tuvel argues that “critical gender, sex and race theory </w:t>
      </w:r>
      <w:r w:rsidRPr="007B3B9C">
        <w:rPr>
          <w:i/>
          <w:szCs w:val="24"/>
        </w:rPr>
        <w:t>must</w:t>
      </w:r>
      <w:r w:rsidRPr="007B3B9C">
        <w:rPr>
          <w:szCs w:val="24"/>
        </w:rPr>
        <w:t xml:space="preserve"> register the animal-human dichotomy as a </w:t>
      </w:r>
      <w:r w:rsidRPr="007B3B9C">
        <w:rPr>
          <w:i/>
          <w:szCs w:val="24"/>
        </w:rPr>
        <w:t>fundamental driving mechanism</w:t>
      </w:r>
      <w:r w:rsidRPr="007B3B9C">
        <w:rPr>
          <w:szCs w:val="24"/>
        </w:rPr>
        <w:t xml:space="preserve"> inherent in raced, sexed and colonial oppression, and therefore one that must be rigorously challenged if we wish to combat varying modes of persecution.</w:t>
      </w:r>
      <w:r>
        <w:rPr>
          <w:szCs w:val="24"/>
        </w:rPr>
        <w:t>”</w:t>
      </w:r>
      <w:r w:rsidRPr="007B3B9C">
        <w:rPr>
          <w:szCs w:val="24"/>
        </w:rPr>
        <w:t xml:space="preserve"> </w:t>
      </w:r>
      <w:r>
        <w:rPr>
          <w:rFonts w:cs="Times New Roman"/>
          <w:szCs w:val="24"/>
        </w:rPr>
        <w:t xml:space="preserve">Tuvel illustrates </w:t>
      </w:r>
      <w:r w:rsidR="00DD5281">
        <w:rPr>
          <w:rFonts w:cs="Times New Roman"/>
          <w:szCs w:val="24"/>
        </w:rPr>
        <w:t>these claims</w:t>
      </w:r>
      <w:r>
        <w:rPr>
          <w:rFonts w:cs="Times New Roman"/>
          <w:szCs w:val="24"/>
        </w:rPr>
        <w:t xml:space="preserve"> through her sustained analysis of the case of Sarah Bartmann, the so-called “Hottentot Venus.” The obviously racist and sexist oppression of Sarah Bartmann was, Tuvel convincingly shows, inextricably bound up with and reliant upon oppressive views of animality and spec</w:t>
      </w:r>
      <w:r w:rsidRPr="00A10DE5">
        <w:rPr>
          <w:rFonts w:cs="Times New Roman"/>
          <w:szCs w:val="24"/>
        </w:rPr>
        <w:t>iesist forms of thought. Animalization was not just one of the ways in which Bartmann was oppressed, Tuvel demonstrates, but “</w:t>
      </w:r>
      <w:r w:rsidRPr="00A10DE5">
        <w:rPr>
          <w:szCs w:val="24"/>
        </w:rPr>
        <w:t>shaped Bartmann’s racial body, her status as part of the ‘savage,’ colonial world versus the ‘civilized’ world, and her sexuality all at once.”</w:t>
      </w:r>
      <w:r w:rsidRPr="00A10DE5">
        <w:rPr>
          <w:rFonts w:cs="Times New Roman"/>
          <w:szCs w:val="24"/>
        </w:rPr>
        <w:t xml:space="preserve"> Much as </w:t>
      </w:r>
      <w:r>
        <w:rPr>
          <w:rFonts w:cs="Times New Roman"/>
          <w:szCs w:val="24"/>
        </w:rPr>
        <w:t xml:space="preserve">philosopher </w:t>
      </w:r>
      <w:r w:rsidRPr="00A10DE5">
        <w:rPr>
          <w:rFonts w:cs="Times New Roman"/>
          <w:szCs w:val="24"/>
        </w:rPr>
        <w:t xml:space="preserve">Ladelle McWhorter has recently argued that sexual oppression in the U.S. </w:t>
      </w:r>
      <w:r w:rsidRPr="003C7C23">
        <w:rPr>
          <w:rFonts w:cs="Times New Roman"/>
          <w:i/>
          <w:szCs w:val="24"/>
        </w:rPr>
        <w:t>is</w:t>
      </w:r>
      <w:r w:rsidRPr="00A10DE5">
        <w:rPr>
          <w:rFonts w:cs="Times New Roman"/>
          <w:szCs w:val="24"/>
        </w:rPr>
        <w:t xml:space="preserve"> racist oppression, so Tuvel</w:t>
      </w:r>
      <w:r>
        <w:rPr>
          <w:rFonts w:cs="Times New Roman"/>
          <w:szCs w:val="24"/>
        </w:rPr>
        <w:t xml:space="preserve"> shows</w:t>
      </w:r>
      <w:r w:rsidRPr="00A10DE5">
        <w:rPr>
          <w:rFonts w:cs="Times New Roman"/>
          <w:szCs w:val="24"/>
        </w:rPr>
        <w:t xml:space="preserve"> that sexual and racial oppression </w:t>
      </w:r>
      <w:r>
        <w:rPr>
          <w:rFonts w:cs="Times New Roman"/>
          <w:i/>
          <w:szCs w:val="24"/>
        </w:rPr>
        <w:t>a</w:t>
      </w:r>
      <w:r w:rsidRPr="00A10DE5">
        <w:rPr>
          <w:rFonts w:cs="Times New Roman"/>
          <w:i/>
          <w:szCs w:val="24"/>
        </w:rPr>
        <w:t>re</w:t>
      </w:r>
      <w:r>
        <w:rPr>
          <w:rFonts w:cs="Times New Roman"/>
          <w:szCs w:val="24"/>
        </w:rPr>
        <w:t xml:space="preserve"> speciesist</w:t>
      </w:r>
      <w:r w:rsidRPr="00A10DE5">
        <w:rPr>
          <w:rFonts w:cs="Times New Roman"/>
          <w:szCs w:val="24"/>
        </w:rPr>
        <w:t xml:space="preserve"> oppression</w:t>
      </w:r>
      <w:r>
        <w:rPr>
          <w:rFonts w:cs="Times New Roman"/>
          <w:szCs w:val="24"/>
        </w:rPr>
        <w:t>s</w:t>
      </w:r>
      <w:r w:rsidRPr="00A10DE5">
        <w:rPr>
          <w:rFonts w:cs="Times New Roman"/>
          <w:szCs w:val="24"/>
        </w:rPr>
        <w:t>.</w:t>
      </w:r>
      <w:r>
        <w:rPr>
          <w:rFonts w:cs="Times New Roman"/>
          <w:szCs w:val="24"/>
        </w:rPr>
        <w:t xml:space="preserve"> Tuvel thus concludes that resistance to all forms of oppression must entail our thinking “beyond, between and within” the human-animal binary—which seems like an excellent last word for the article section of this special issue.</w:t>
      </w:r>
    </w:p>
    <w:p w:rsidR="00D83B96" w:rsidRDefault="00D83B96" w:rsidP="0067706A">
      <w:pPr>
        <w:rPr>
          <w:rFonts w:cs="Times New Roman"/>
          <w:szCs w:val="24"/>
        </w:rPr>
      </w:pPr>
    </w:p>
    <w:p w:rsidR="00B80890" w:rsidRDefault="00645A02" w:rsidP="0067706A">
      <w:pPr>
        <w:rPr>
          <w:rFonts w:cs="Times New Roman"/>
          <w:i/>
          <w:szCs w:val="24"/>
        </w:rPr>
      </w:pPr>
      <w:r>
        <w:rPr>
          <w:rFonts w:cs="Times New Roman"/>
          <w:szCs w:val="24"/>
        </w:rPr>
        <w:t xml:space="preserve">Two </w:t>
      </w:r>
      <w:r w:rsidR="00A30E4F">
        <w:rPr>
          <w:rFonts w:cs="Times New Roman"/>
          <w:szCs w:val="24"/>
        </w:rPr>
        <w:t>thought-provoking</w:t>
      </w:r>
      <w:r w:rsidR="00B80890">
        <w:rPr>
          <w:rFonts w:cs="Times New Roman"/>
          <w:szCs w:val="24"/>
        </w:rPr>
        <w:t xml:space="preserve"> Book Reviews complete</w:t>
      </w:r>
      <w:r>
        <w:rPr>
          <w:rFonts w:cs="Times New Roman"/>
          <w:szCs w:val="24"/>
        </w:rPr>
        <w:t xml:space="preserve"> this Special Issue. The first of these</w:t>
      </w:r>
      <w:r w:rsidR="00B80890">
        <w:rPr>
          <w:rFonts w:cs="Times New Roman"/>
          <w:szCs w:val="24"/>
        </w:rPr>
        <w:t xml:space="preserve"> is</w:t>
      </w:r>
      <w:r w:rsidR="0064541B">
        <w:rPr>
          <w:rFonts w:cs="Times New Roman"/>
          <w:szCs w:val="24"/>
        </w:rPr>
        <w:t xml:space="preserve"> written</w:t>
      </w:r>
      <w:r w:rsidR="00B80890">
        <w:rPr>
          <w:rFonts w:cs="Times New Roman"/>
          <w:szCs w:val="24"/>
        </w:rPr>
        <w:t xml:space="preserve"> by </w:t>
      </w:r>
      <w:r w:rsidR="00B80890" w:rsidRPr="006C5479">
        <w:rPr>
          <w:rFonts w:cs="Times New Roman"/>
          <w:b/>
          <w:szCs w:val="24"/>
        </w:rPr>
        <w:t>Matt Applegate</w:t>
      </w:r>
      <w:r w:rsidR="00B80890">
        <w:rPr>
          <w:rFonts w:cs="Times New Roman"/>
          <w:szCs w:val="24"/>
        </w:rPr>
        <w:t xml:space="preserve"> and </w:t>
      </w:r>
      <w:r>
        <w:rPr>
          <w:rFonts w:cs="Times New Roman"/>
          <w:szCs w:val="24"/>
        </w:rPr>
        <w:t>addresses</w:t>
      </w:r>
      <w:r w:rsidR="00B80890">
        <w:rPr>
          <w:rFonts w:cs="Times New Roman"/>
          <w:szCs w:val="24"/>
        </w:rPr>
        <w:t xml:space="preserve"> Derrida’s </w:t>
      </w:r>
      <w:r w:rsidR="00B80890" w:rsidRPr="00B80890">
        <w:rPr>
          <w:rFonts w:cs="Times New Roman"/>
          <w:i/>
          <w:szCs w:val="24"/>
        </w:rPr>
        <w:t>The</w:t>
      </w:r>
      <w:r w:rsidR="00DD5281">
        <w:rPr>
          <w:rFonts w:cs="Times New Roman"/>
          <w:i/>
          <w:szCs w:val="24"/>
        </w:rPr>
        <w:t xml:space="preserve"> Beast and the Sovereign</w:t>
      </w:r>
      <w:r w:rsidR="0064541B">
        <w:rPr>
          <w:rFonts w:cs="Times New Roman"/>
          <w:i/>
          <w:szCs w:val="24"/>
        </w:rPr>
        <w:t xml:space="preserve"> Volume </w:t>
      </w:r>
      <w:r w:rsidR="00B80890" w:rsidRPr="00B80890">
        <w:rPr>
          <w:rFonts w:cs="Times New Roman"/>
          <w:i/>
          <w:szCs w:val="24"/>
        </w:rPr>
        <w:t xml:space="preserve">l. </w:t>
      </w:r>
      <w:r>
        <w:rPr>
          <w:rFonts w:cs="Times New Roman"/>
          <w:szCs w:val="24"/>
        </w:rPr>
        <w:t>T</w:t>
      </w:r>
      <w:r w:rsidR="00B80890">
        <w:rPr>
          <w:rFonts w:cs="Times New Roman"/>
          <w:szCs w:val="24"/>
        </w:rPr>
        <w:t xml:space="preserve">he second review </w:t>
      </w:r>
      <w:r>
        <w:rPr>
          <w:rFonts w:cs="Times New Roman"/>
          <w:szCs w:val="24"/>
        </w:rPr>
        <w:t xml:space="preserve">is </w:t>
      </w:r>
      <w:r w:rsidR="006C5479">
        <w:rPr>
          <w:rFonts w:cs="Times New Roman"/>
          <w:szCs w:val="24"/>
        </w:rPr>
        <w:t>provided</w:t>
      </w:r>
      <w:r>
        <w:rPr>
          <w:rFonts w:cs="Times New Roman"/>
          <w:szCs w:val="24"/>
        </w:rPr>
        <w:t xml:space="preserve"> by </w:t>
      </w:r>
      <w:r w:rsidRPr="006C5479">
        <w:rPr>
          <w:rFonts w:cs="Times New Roman"/>
          <w:b/>
          <w:szCs w:val="24"/>
        </w:rPr>
        <w:t>Greg Pollack</w:t>
      </w:r>
      <w:r>
        <w:rPr>
          <w:rFonts w:cs="Times New Roman"/>
          <w:szCs w:val="24"/>
        </w:rPr>
        <w:t xml:space="preserve"> and focuses on</w:t>
      </w:r>
      <w:r w:rsidR="00B80890">
        <w:rPr>
          <w:rFonts w:cs="Times New Roman"/>
          <w:szCs w:val="24"/>
        </w:rPr>
        <w:t xml:space="preserve"> Cary Wolfe’s 2009 book </w:t>
      </w:r>
      <w:r w:rsidR="00B80890" w:rsidRPr="00B80890">
        <w:rPr>
          <w:rFonts w:cs="Times New Roman"/>
          <w:i/>
          <w:szCs w:val="24"/>
        </w:rPr>
        <w:t>What is Posthumanism</w:t>
      </w:r>
      <w:r>
        <w:rPr>
          <w:rFonts w:cs="Times New Roman"/>
          <w:i/>
          <w:szCs w:val="24"/>
        </w:rPr>
        <w:t>?</w:t>
      </w:r>
    </w:p>
    <w:p w:rsidR="00645A02" w:rsidRDefault="00645A02" w:rsidP="0067706A">
      <w:pPr>
        <w:rPr>
          <w:rFonts w:cs="Times New Roman"/>
          <w:szCs w:val="24"/>
        </w:rPr>
        <w:sectPr w:rsidR="00645A02" w:rsidSect="000175E0">
          <w:headerReference w:type="even" r:id="rId24"/>
          <w:headerReference w:type="default" r:id="rId25"/>
          <w:headerReference w:type="first" r:id="rId26"/>
          <w:footnotePr>
            <w:numRestart w:val="eachSect"/>
          </w:footnotePr>
          <w:pgSz w:w="11907" w:h="16839" w:code="9"/>
          <w:pgMar w:top="1440" w:right="1800" w:bottom="1440" w:left="1800" w:header="720" w:footer="720" w:gutter="0"/>
          <w:cols w:space="720"/>
          <w:docGrid w:linePitch="360"/>
        </w:sectPr>
      </w:pPr>
    </w:p>
    <w:p w:rsidR="002D463E" w:rsidRPr="003F044F" w:rsidRDefault="002D463E" w:rsidP="00F63083">
      <w:pPr>
        <w:pStyle w:val="Heading1"/>
      </w:pPr>
      <w:bookmarkStart w:id="73" w:name="_Toc292202625"/>
      <w:r w:rsidRPr="003F044F">
        <w:lastRenderedPageBreak/>
        <w:t>Painting the Prehuman: Bataille, Merleau-Ponty, and the Aesthetic Origins of Humanity</w:t>
      </w:r>
      <w:bookmarkEnd w:id="73"/>
    </w:p>
    <w:p w:rsidR="002D463E" w:rsidRPr="003F044F" w:rsidRDefault="002D463E" w:rsidP="00F63083">
      <w:pPr>
        <w:pStyle w:val="Heading1"/>
      </w:pPr>
      <w:bookmarkStart w:id="74" w:name="_Toc292202626"/>
      <w:r w:rsidRPr="003F044F">
        <w:t>Brett Buchanan</w:t>
      </w:r>
      <w:r w:rsidRPr="003F044F">
        <w:rPr>
          <w:rStyle w:val="FootnoteReference"/>
          <w:b w:val="0"/>
          <w:sz w:val="32"/>
          <w:szCs w:val="32"/>
        </w:rPr>
        <w:footnoteReference w:id="1"/>
      </w:r>
      <w:bookmarkEnd w:id="74"/>
    </w:p>
    <w:p w:rsidR="002D463E" w:rsidRPr="003F044F" w:rsidRDefault="002D463E" w:rsidP="002D463E"/>
    <w:p w:rsidR="002D463E" w:rsidRPr="003F044F" w:rsidRDefault="002D463E" w:rsidP="002D463E">
      <w:pPr>
        <w:ind w:firstLine="720"/>
      </w:pPr>
      <w:r w:rsidRPr="003F044F">
        <w:t>“Nothing must be concealed: what is involved, final</w:t>
      </w:r>
      <w:r>
        <w:t xml:space="preserve">ly, is a failure of </w:t>
      </w:r>
      <w:r w:rsidR="008C556A">
        <w:tab/>
      </w:r>
      <w:r>
        <w:t xml:space="preserve">humanity.” </w:t>
      </w:r>
    </w:p>
    <w:p w:rsidR="002D463E" w:rsidRPr="003F044F" w:rsidRDefault="002D463E" w:rsidP="002D463E">
      <w:pPr>
        <w:ind w:left="720" w:firstLine="720"/>
      </w:pPr>
      <w:r w:rsidRPr="003F044F">
        <w:t xml:space="preserve">--Georges Bataille, </w:t>
      </w:r>
      <w:r w:rsidRPr="003F044F">
        <w:rPr>
          <w:i/>
        </w:rPr>
        <w:t>The Accursed Share II</w:t>
      </w:r>
      <w:r w:rsidRPr="003F044F">
        <w:t>: 14-15</w:t>
      </w:r>
    </w:p>
    <w:p w:rsidR="002D463E" w:rsidRPr="003F044F" w:rsidRDefault="002D463E" w:rsidP="002D463E"/>
    <w:p w:rsidR="002D463E" w:rsidRDefault="002D463E" w:rsidP="002D463E">
      <w:r w:rsidRPr="003F044F">
        <w:t xml:space="preserve">In a lecture that Georges Bataille delivered on January 18, 1955, the birth and death of humanity came together in an unexpected way. The lecture that Bataille was to deliver would eventually recount his visitation of the Lascaux caves in France and the prehistoric paintings found therein, but the manner by which he opens his talk is slightly unorthodox: </w:t>
      </w:r>
    </w:p>
    <w:p w:rsidR="00B80890" w:rsidRPr="003F044F" w:rsidRDefault="00B80890" w:rsidP="002D463E"/>
    <w:p w:rsidR="002D463E" w:rsidRDefault="002D463E" w:rsidP="002D463E">
      <w:pPr>
        <w:ind w:left="720"/>
      </w:pPr>
      <w:r w:rsidRPr="003F044F">
        <w:t>It has become commonplace today to talk about the eventual extinction of human life. The latest atomic experiments made tangible the notion of radiation invading the atmosphere and creating conditions in which life in general could no longer thrive. Even without war, the experiments alone, if pursued with a little persistence, might themselves begin to create these conditions. I do not intend to talk to you about our eventual demise today. I would like, on the contrary, to talk to you about our birth. I am simply struck by the fact that light is being shed on our birth at the very moment when the notion of our death appears to us.</w:t>
      </w:r>
      <w:r w:rsidRPr="003F044F">
        <w:rPr>
          <w:rStyle w:val="FootnoteReference"/>
        </w:rPr>
        <w:t xml:space="preserve"> </w:t>
      </w:r>
      <w:r w:rsidRPr="003F044F">
        <w:t xml:space="preserve"> (2005: 85). </w:t>
      </w:r>
      <w:r w:rsidRPr="003F044F">
        <w:rPr>
          <w:rStyle w:val="FootnoteReference"/>
        </w:rPr>
        <w:footnoteReference w:id="2"/>
      </w:r>
    </w:p>
    <w:p w:rsidR="00B444D9" w:rsidRPr="003F044F" w:rsidRDefault="00B444D9" w:rsidP="002D463E">
      <w:pPr>
        <w:ind w:left="720"/>
      </w:pPr>
    </w:p>
    <w:p w:rsidR="002D463E" w:rsidRPr="003F044F" w:rsidRDefault="002D463E" w:rsidP="002D463E">
      <w:r w:rsidRPr="003F044F">
        <w:t>The moment of which Bataille speaks—the present moment, January of 1955, a night on which he delivers a talk titled only by its date and in which he identifies the discovery of our collective birth as September 12</w:t>
      </w:r>
      <w:r w:rsidRPr="003F044F">
        <w:rPr>
          <w:vertAlign w:val="superscript"/>
        </w:rPr>
        <w:t>th</w:t>
      </w:r>
      <w:r w:rsidRPr="003F044F">
        <w:t xml:space="preserve">, 1940—splits the future and past, </w:t>
      </w:r>
      <w:r w:rsidRPr="003F044F">
        <w:lastRenderedPageBreak/>
        <w:t>death and birth, through one long transition as the passage between animality and humanity. The birth occurs through the passage from animality to humanity, as discovered in art, whereas the death occurs, arguably and no doubt speculatively, through the passage from humanity to animality, as evinced by the sciences of experimentation and war. Through the transformation of humanity in its passion for destruction, self-effacement, and “the prospect of absolute death” (104), Bataille hints at a cataclysmic end already foretold within the cave paintings that are taken to be a trace of our beginning.</w:t>
      </w:r>
    </w:p>
    <w:p w:rsidR="002D463E" w:rsidRPr="003F044F" w:rsidRDefault="002D463E" w:rsidP="002D463E"/>
    <w:p w:rsidR="002D463E" w:rsidRPr="003F044F" w:rsidRDefault="002D463E" w:rsidP="002D463E">
      <w:r w:rsidRPr="003F044F">
        <w:t xml:space="preserve">This presents an intriguing Bataillean dialectic between the birth and death of humanity wherein neither term is resolved but is left to waste in its indeterminacy. Rather than perceiving the birth of humanity in the Lascaux paintings, as many have done, I wish instead to play with the thesis that we see the impossibility of humanity. Inasmuch as a birth always foretells an eventual death, and that death is always already inherent within the birth, the sacrifices depicted in the Lascaux paintings may not be the sacrifices of animals, as is often thought, but the self-sacrifice of humanity in the erasure of its own image. The dawning consciousness of death—as these paintings of bison, reindeer, and horses are said to reveal—must have awakened the impossibility of being, which undoubtedly would have inspired a number of reactions, many of them suggested by Bataille himself: shame, laughter, religiosity, guilt, arousal. And what better way to express this impossibility than through the rendering visible of one’s own self-effacement? Is it not possible, then, that the passage from animality to humanity is either still underway, never to be completed, or, in what might be the same thing, was always doomed from the start to be a failed passage? Might not the transgression of the boundary separating humanity and animality be not against animality per se, but against the idea that animality had been left behind in the thought of our birth? If this is the case—and admittedly it is only a wild hypothesis—then the paintings in Lascaux depict the acknowledgement of being always already prehuman, or, put otherwise, that humanity is a condition that is never fully formed inasmuch as it is a process continually in the making. As a tentative conclusion, I will suggest that the impossibility of humanity rests on what Bataille calls the “formless” </w:t>
      </w:r>
      <w:r w:rsidRPr="003F044F">
        <w:lastRenderedPageBreak/>
        <w:t>in nature. The human never quite takes shape in these early self-referential depictions, always appearing deformed, altered, and/or disfigured.</w:t>
      </w:r>
      <w:r w:rsidRPr="003F044F">
        <w:rPr>
          <w:rStyle w:val="FootnoteReference"/>
        </w:rPr>
        <w:footnoteReference w:id="3"/>
      </w:r>
      <w:r w:rsidRPr="003F044F">
        <w:t xml:space="preserve"> </w:t>
      </w:r>
    </w:p>
    <w:p w:rsidR="002D463E" w:rsidRPr="003F044F" w:rsidRDefault="002D463E" w:rsidP="002D463E"/>
    <w:p w:rsidR="002D463E" w:rsidRPr="003F044F" w:rsidRDefault="002D463E" w:rsidP="002D463E">
      <w:r w:rsidRPr="003F044F">
        <w:t xml:space="preserve">In order to better highlight this reading of Bataille and the prehuman (a term that I’ll use as a placeholder for the animal-human passage), I’ll turn to the writings of Maurice Merleau-Ponty on art in which he emphasizes a passage of a different kind between the prehuman and the human, one that rests not on a speciesist transition between animality and humanity but instead on a phenomenological register wherein the painter strives to express the prehuman condition. Merleau-Ponty thus provides further depth to our reading inasmuch as he describes the </w:t>
      </w:r>
      <w:r w:rsidRPr="003F044F">
        <w:rPr>
          <w:i/>
        </w:rPr>
        <w:t>act</w:t>
      </w:r>
      <w:r w:rsidRPr="003F044F">
        <w:t xml:space="preserve"> of painting as an inherent passage or transition. Painting in-and-of-itself seeks to capture the formation of humanity and yet, in doing so, it necessarily betrays its own end as it comes up unfinished. As we shall see, this passage holds interesting parallels for how we might think of the rendering visible of the invisible in what he calls the continuous rebirth of humanity. Becoming-human is a continuous accomplishment, but one wherein the prehuman is never left behind. This paper has four sections: the discovery of Lascaux (and how animality is at its centre), the readings of Lascaux, the notion of a deformed humanity, and lastly an animal ontology of art.</w:t>
      </w:r>
    </w:p>
    <w:p w:rsidR="002D463E" w:rsidRPr="003F044F" w:rsidRDefault="002D463E" w:rsidP="002D463E"/>
    <w:p w:rsidR="002D463E" w:rsidRPr="003F044F" w:rsidRDefault="002D463E" w:rsidP="00E35253">
      <w:pPr>
        <w:pStyle w:val="Heading3"/>
      </w:pPr>
      <w:r w:rsidRPr="003F044F">
        <w:t>T</w:t>
      </w:r>
      <w:r w:rsidRPr="008C556A">
        <w:rPr>
          <w:rStyle w:val="Heading3Char"/>
        </w:rPr>
        <w:t>he Discovery</w:t>
      </w:r>
    </w:p>
    <w:p w:rsidR="002D463E" w:rsidRPr="003F044F" w:rsidRDefault="002D463E" w:rsidP="002D463E"/>
    <w:p w:rsidR="002D463E" w:rsidRPr="003F044F" w:rsidRDefault="002D463E" w:rsidP="002D463E">
      <w:r w:rsidRPr="003F044F">
        <w:t xml:space="preserve">Humanity, Bataille writes, “appeared on earth with art. And Lascaux is the first truly majestic sign of this appearance” (92). If it is the case that humanity and art are coincident, can art and the aesthetic  ever truly be divorced from animality? Must not animality necessarily be implicated within this picture as art’s archaic base and/or ground? That is, to confront art, one must always already address animality as its source and foundation. As it turns out, the confluence of Lascaux, art, and the birth of humanity has a rather curious injection of animality within it. As Bataille weaves his </w:t>
      </w:r>
      <w:r w:rsidRPr="003F044F">
        <w:lastRenderedPageBreak/>
        <w:t xml:space="preserve">narratives, including his endeavour to retell the discovery of Lascaux, what emerges is a near literal enactment of the images contained within the cave, complete with an expulsion of animality and the transition from a childlike, prehuman wonder to the awareness of one’s own maturity. In the case of the Lascaux cave in France, as well as the Altamira cave in Spain, we are informed that the discovery of each prehistoric landmark was made by a few curious children who, with their tiny little bodies, accessed the wealth of human origins by crawling into otherwise inaccessible spaces. Bataille stages a fairytale-like setting when he describes how a five-year-old girl innocently wandered into the Altamira cave in 1879 only to discover the marvelous frescos found therein. In a similar vein he describes how a few young boys discovered the Lascaux cave when they went searching for a lost dog that had fallen into a fissure in the earth’s surface (59/95). In both cases, Bataille emphasizes the youth and childlike wonder that enabled the paintings to come to light, enacting a story of innocence that bore out the discovery of our own present-day humanity. The descriptions of these descents—“into a room of a thousand and one nights,” as he puts it at one point—enact a dreamscape that will come to mirror the fantastical images contained within. The lost dog, as it turned out, was a journalistic extravagance in order to tell a better story. But, as told in an essay a few years later, even if Lascaux’s discovery was not due to “the fall” of a dog (and what might begin to look like interesting biblical resonances), it was due to an animal nonetheless, namely a dead donkey. </w:t>
      </w:r>
    </w:p>
    <w:p w:rsidR="002D463E" w:rsidRPr="003F044F" w:rsidRDefault="002D463E" w:rsidP="002D463E"/>
    <w:p w:rsidR="002D463E" w:rsidRPr="003F044F" w:rsidRDefault="002D463E" w:rsidP="002D463E">
      <w:r w:rsidRPr="003F044F">
        <w:t xml:space="preserve">Yes, a dead donkey lies at the origin of Bataille’s story. And one hesitates to think that this is merely accidental. “I have been at pains,” Bataille informs his audience on that night in 1955, “to get an intimate grasp of the truth of the discovery” (96). For some 15,000 years the Lascaux cave remained cut off from the world, free even, so we are told, from “the slugs themselves” (95). Its nearly perfect state, untouched, unseen, and therefore uncontaminated, was only unsettled in the mid 1920s when a storm uprooted a pine tree revealing a deep yet unexamined cavity. Shortly thereafter the hole was filled over with some sticks by a few local farmers in order to keep the sheep, who were grazing nearby, from falling in. Suffice it to say, these farmers were not curious enough to inquire within. The cave, by all appearances, had therefore been free from the presence of any live animal, be it a slug, dog, sheep, or prehistoric auroch. It was free from animality. If we are to imagine this space as the place of </w:t>
      </w:r>
      <w:r w:rsidRPr="003F044F">
        <w:lastRenderedPageBreak/>
        <w:t>humanity’s birth, the presence of a live animal would presumably trespass upon the sanctity or sacredness of the cave. We enter the cave, therefore, as Suzanne Guerlac has well put, in search of a sacred moment.</w:t>
      </w:r>
      <w:r w:rsidRPr="003F044F">
        <w:rPr>
          <w:rStyle w:val="FootnoteReference"/>
        </w:rPr>
        <w:footnoteReference w:id="4"/>
      </w:r>
      <w:r w:rsidRPr="003F044F">
        <w:t xml:space="preserve"> This is what makes the character of a dead donkey, as we are about to see, all the more fascinating. </w:t>
      </w:r>
    </w:p>
    <w:p w:rsidR="002D463E" w:rsidRPr="003F044F" w:rsidRDefault="002D463E" w:rsidP="002D463E"/>
    <w:p w:rsidR="002D463E" w:rsidRPr="003F044F" w:rsidRDefault="002D463E" w:rsidP="002D463E">
      <w:r w:rsidRPr="003F044F">
        <w:t>Lascaux was discovered by four boys—Bataille repeatedly calls them “children” despite the fact that their ages were somewhere between 15-18 years old—who were told about the cave by a local woman who discovered the cavity when she removed the sticks in order to “put her dead donkey in the hole” (95). Led by the eldest boy, Marcel Ravidat, the four of them dropped the 7 meters into the hole, where, “next to the remains of the dead donkey,” they soon encountered the treasure of animal images (96). Already prior to the discovery of the images themselves, and the stories hidden within, the revelation of the birth of humanity coincides with the literal expulsion of animality, in this case the dead donkey that, as waste and refuse, was better hidden away than buried. The donkey was not expelled from the cave, of course, but from the daylight of human perception, expelled from sight in being pushed back into the darkness from out of which humanity emerged. It would be tempting to see the donkey as a sacrifice given to the idols of prehistoric art, but such a fanciful reading would not accord with Bataille’s understanding of sacrifice even if it might with the sacred.</w:t>
      </w:r>
      <w:r w:rsidRPr="003F044F">
        <w:rPr>
          <w:rStyle w:val="FootnoteReference"/>
        </w:rPr>
        <w:footnoteReference w:id="5"/>
      </w:r>
      <w:r w:rsidRPr="003F044F">
        <w:t xml:space="preserve"> In a passage from his </w:t>
      </w:r>
      <w:r w:rsidRPr="003F044F">
        <w:rPr>
          <w:i/>
        </w:rPr>
        <w:t>History of Eroticism</w:t>
      </w:r>
      <w:r w:rsidRPr="003F044F">
        <w:t xml:space="preserve">, the second volume of </w:t>
      </w:r>
      <w:r w:rsidRPr="003F044F">
        <w:rPr>
          <w:i/>
        </w:rPr>
        <w:t>The Accursed Share</w:t>
      </w:r>
      <w:r w:rsidRPr="003F044F">
        <w:t>, Bataille writes the following of the sacred animal:</w:t>
      </w:r>
    </w:p>
    <w:p w:rsidR="002D463E" w:rsidRPr="003F044F" w:rsidRDefault="002D463E" w:rsidP="002D463E">
      <w:pPr>
        <w:ind w:left="720"/>
      </w:pPr>
      <w:r w:rsidRPr="003F044F">
        <w:t xml:space="preserve">In a basic sense, what is </w:t>
      </w:r>
      <w:r w:rsidRPr="003F044F">
        <w:rPr>
          <w:i/>
        </w:rPr>
        <w:t>sacred</w:t>
      </w:r>
      <w:r w:rsidRPr="003F044F">
        <w:t xml:space="preserve"> is precisely what is </w:t>
      </w:r>
      <w:r w:rsidRPr="003F044F">
        <w:rPr>
          <w:i/>
        </w:rPr>
        <w:t>prohibited</w:t>
      </w:r>
      <w:r w:rsidRPr="003F044F">
        <w:t xml:space="preserve">. But if the </w:t>
      </w:r>
      <w:r w:rsidRPr="003F044F">
        <w:rPr>
          <w:i/>
        </w:rPr>
        <w:t>sacred</w:t>
      </w:r>
      <w:r w:rsidRPr="003F044F">
        <w:t xml:space="preserve">, the </w:t>
      </w:r>
      <w:r w:rsidRPr="003F044F">
        <w:rPr>
          <w:i/>
        </w:rPr>
        <w:t>prohibited</w:t>
      </w:r>
      <w:r w:rsidRPr="003F044F">
        <w:t xml:space="preserve">, is cast out of the sphere of profane life (inasmuch as it denotes a disruption of that life), it nevertheless has a greater value than this profane that excludes it. It is no longer the despised bestiality; often it has retained an animal form, but the latter has become </w:t>
      </w:r>
      <w:r w:rsidRPr="003F044F">
        <w:rPr>
          <w:i/>
        </w:rPr>
        <w:t>divine</w:t>
      </w:r>
      <w:r w:rsidRPr="003F044F">
        <w:t xml:space="preserve">. …Thus, the </w:t>
      </w:r>
      <w:r w:rsidRPr="003F044F">
        <w:rPr>
          <w:i/>
        </w:rPr>
        <w:t>sacred</w:t>
      </w:r>
      <w:r w:rsidRPr="003F044F">
        <w:t xml:space="preserve"> announces a new possibility: it is a leap into the unknown, with animality as its impetus (Bataille, 1994: 92-93).</w:t>
      </w:r>
    </w:p>
    <w:p w:rsidR="002D463E" w:rsidRPr="003F044F" w:rsidRDefault="002D463E" w:rsidP="002D463E">
      <w:r w:rsidRPr="003F044F">
        <w:lastRenderedPageBreak/>
        <w:t>If not a sacrifice, then, at the very least a push into the unknown, as the donkey transforms from despised bestiality, irreverently cast out of a profane and mundane life, and into the depths of a waiting prehistoric temple. A dead donkey, then, unintentionally and yet somehow appropriately, ushers in the discovery of humanity’s birth.</w:t>
      </w:r>
    </w:p>
    <w:p w:rsidR="002D463E" w:rsidRPr="003F044F" w:rsidRDefault="002D463E" w:rsidP="002D463E"/>
    <w:p w:rsidR="002D463E" w:rsidRPr="003F044F" w:rsidRDefault="002D463E" w:rsidP="002D463E">
      <w:pPr>
        <w:rPr>
          <w:b/>
        </w:rPr>
      </w:pPr>
      <w:r w:rsidRPr="003F044F">
        <w:rPr>
          <w:b/>
        </w:rPr>
        <w:t>Prehistoric Art</w:t>
      </w:r>
    </w:p>
    <w:p w:rsidR="002D463E" w:rsidRPr="003F044F" w:rsidRDefault="002D463E" w:rsidP="002D463E"/>
    <w:p w:rsidR="002D463E" w:rsidRPr="003F044F" w:rsidRDefault="002D463E" w:rsidP="002D463E">
      <w:r w:rsidRPr="003F044F">
        <w:t xml:space="preserve">Let us begin our look at the wonder of Lascaux with an equal bit of enchantment and excuses. Theodor Adorno, in his characteristically dour way, has said that attempts to derive an aesthetic from the origins of art “are inevitably disappointing” (Adorno, 1997: 325). Such disappointment, as recounted in his book </w:t>
      </w:r>
      <w:r w:rsidRPr="003F044F">
        <w:rPr>
          <w:i/>
        </w:rPr>
        <w:t>Aesthetic Theory,</w:t>
      </w:r>
      <w:r w:rsidRPr="003F044F">
        <w:t xml:space="preserve"> is not a complete retraction from discourses on prehistoric art. One might instead say that there can only be disappointment if something is expected from the paintings and they subsequently fail to live up them, in this case a thorough comprehension of the cave’s purpose and uses. Against such standards, disappointments surely arise, and an indeterminacy of understanding would be perfectly legitimate. Adorno continues, “The earliest surviving manifestations of art are not the most authentic, nor do they in any way circumscribe art’s range; and rather than best exemplifying what art is, they make it more obscure” (325). The question of the clarity of the paintings in Lascaux have never really been doubted, since in nearly every interpretative reading of them one finds apologetic clauses that suspend or distance the interpretations from the paintings themselves. Thus, along with Adorno, we find with Bataille that these paintings depict “an ungraspable reality” about which we will never know anything precise. Similarly, with Maurice Blanchot, who, in his review of Bataille’s book on Lascaux, notes that the paintings disorient us in their “inescapable simplicity” and fill us with a “lacuna” despite being “images without enigma.” Or again, with Merleau-Ponty, who describes these paintings as an “inarticulate cry” that is heard but poorly understood, like pure content without form, images without an ordering frame (Bataille, 1997: 64; Blanchot, 1997: 3; Merleau-Ponty, 1964b: 182). These cries resound for some 15,000 - 30,000 years, a temporal period that takes us back to an era often described as “prehistory” inasmuch as the continuity of time breaks, jags, and fragments with only brief and scattered images flashing here and there. And yet, in spite of such reservations, we nevertheless discover the attempts to understand these </w:t>
      </w:r>
      <w:r w:rsidRPr="003F044F">
        <w:lastRenderedPageBreak/>
        <w:t xml:space="preserve">artworks. One is almost compelled to engage with them. If they are inarticulate cries, they still call out for response. It is thus that Bataille can be found writing, that even though he “renounced the comprehension of this mystery” of the images, he still thinks it is “possible to shed some light” on them (171). </w:t>
      </w:r>
    </w:p>
    <w:p w:rsidR="002D463E" w:rsidRPr="003F044F" w:rsidRDefault="002D463E" w:rsidP="002D463E"/>
    <w:p w:rsidR="002D463E" w:rsidRPr="003F044F" w:rsidRDefault="002D463E" w:rsidP="002D463E">
      <w:r w:rsidRPr="003F044F">
        <w:t xml:space="preserve">As shall become apparent, Bataille’s primary suggestion is that these paintings depict the dawning of humanity’s self-consciousness as both the same as </w:t>
      </w:r>
      <w:r w:rsidRPr="003F044F">
        <w:rPr>
          <w:i/>
        </w:rPr>
        <w:t>and</w:t>
      </w:r>
      <w:r w:rsidRPr="003F044F">
        <w:t xml:space="preserve"> different from the rest of the animal world. However, tied in with this thesis is an older and more conventional interpretation, namely that the appearance of the animals along the cave walls can be attributed to a magical or religious dimension of prehistoric, prehuman peoples (I prefer to use the designation ‘prehuman’ to emphasize this idea of a transition or passage). With respect to Lascaux in particular, Abbé Henri Breuil, one of the first to see the paintings immediately following their discovery in the 1940s, reaffirmed a prevalent thesis that the images had a “magical character in relation to the hunt” (49). The images of the reindeer, bison, and aurochs, it is said, are suggestive of chases and killing. The animals are often seen running, fleeing, jumping, at some points over unseen cliffs, and in others impaled and dying. Let alone the quality of the movement depicted, what Adorno highlights as the great “indeterminacy” of these images (compare them, for instance, with the sometimes static images of Egyptian or Attic art), the presence of the animals have been read as indicative of magical conjurings. It seems clear, however, that the images were not intended to survive, either within their own time or down to our day. Bataille notes that the representations are not like the images found in a temple or church that seek a degree of permanence, and nor are they like “decorations” that one might use and keep for one’s own continued enjoyment. They are not, in other words, early signs of “art for art’s sake,” and the images themselves cannot be properly considered as “objects of art.” They were, as Walter Benjamin puts it in his celebrated essay on art, “first and foremost an instrument of magic which only later came to be recognized as a work of art” (Benjamin, 2002: 107).</w:t>
      </w:r>
      <w:r w:rsidRPr="003F044F">
        <w:rPr>
          <w:rStyle w:val="FootnoteReference"/>
        </w:rPr>
        <w:footnoteReference w:id="6"/>
      </w:r>
      <w:r w:rsidRPr="003F044F">
        <w:t xml:space="preserve"> They have not survived as works of art—</w:t>
      </w:r>
      <w:r w:rsidRPr="003F044F">
        <w:lastRenderedPageBreak/>
        <w:t xml:space="preserve">despite how we view them today—but as traces of something far less permanent and known. The fact that the images have survived at all appears to be entirely accidental, as evidenced in the “indifference” the painters paid to pre-existing images; the paintings and drawings often overlap one another with no clear attempt to erase or separate the images, thus demonstrating little attention to their continued preservation “as is.” </w:t>
      </w:r>
    </w:p>
    <w:p w:rsidR="002D463E" w:rsidRPr="003F044F" w:rsidRDefault="002D463E" w:rsidP="002D463E"/>
    <w:p w:rsidR="002D463E" w:rsidRPr="003F044F" w:rsidRDefault="002D463E" w:rsidP="002D463E">
      <w:r w:rsidRPr="003F044F">
        <w:t xml:space="preserve">This is far from suggesting a lack of care, however. Instead of emphasizing their permanence as objects of art, the importance of these images was in their execution, in the sudden </w:t>
      </w:r>
      <w:r w:rsidRPr="003F044F">
        <w:rPr>
          <w:i/>
        </w:rPr>
        <w:t>apparition</w:t>
      </w:r>
      <w:r w:rsidRPr="003F044F">
        <w:t xml:space="preserve"> of the animal as part of the ritual (76). In line with this thesis of magical conjurings, the evocation of the animals had to be “</w:t>
      </w:r>
      <w:r w:rsidRPr="003F044F">
        <w:rPr>
          <w:i/>
        </w:rPr>
        <w:t>rendered present</w:t>
      </w:r>
      <w:r w:rsidRPr="003F044F">
        <w:t xml:space="preserve"> in the ritual” (50) as a form of idolatry. The apparition of the animal, rather than enacting a past conquest, more often signaled the preparation for a future still to come. Bataille imagines the scene in the cave as nothing less than a prehuman session of adrenaline-induced delirium for the big hunt upon which life and death will depend. And why not? Let us imagine the ritual with him: </w:t>
      </w:r>
    </w:p>
    <w:p w:rsidR="002D463E" w:rsidRPr="003F044F" w:rsidRDefault="002D463E" w:rsidP="002D463E">
      <w:pPr>
        <w:ind w:left="720"/>
      </w:pPr>
      <w:r w:rsidRPr="003F044F">
        <w:t>an attentively executed drawing, extraordinarily true to life, though seen in the flickering light of the lamps, completed in a short time, the ritual, the drawing that provokes the apparition of the bison. This sudden creation had to have produced in the impassioned minds of the hunters an intense feeling of proximity of the inaccessible monster, a feeling of proximity, of profound harmony (51).</w:t>
      </w:r>
    </w:p>
    <w:p w:rsidR="002D463E" w:rsidRPr="003F044F" w:rsidRDefault="002D463E" w:rsidP="002D463E">
      <w:pPr>
        <w:ind w:left="720"/>
      </w:pPr>
    </w:p>
    <w:p w:rsidR="002D463E" w:rsidRPr="003F044F" w:rsidRDefault="002D463E" w:rsidP="002D463E">
      <w:r w:rsidRPr="003F044F">
        <w:t xml:space="preserve">Bataille imagines the prehuman’s fear in not making it back alive from the hunt, of not coming home with anything to eat, but also a sympathy for the hunted who so closely resembles the hunter that the hunter and hunted could very well be interchangeable. Indeed they often were. This feeling of proximity and harmony, however, is ill-defined and nearly ungraspable, for the apparition of the idol (i.e., the animal) signals an incomprehensible beyond </w:t>
      </w:r>
      <w:r w:rsidRPr="003F044F">
        <w:rPr>
          <w:i/>
        </w:rPr>
        <w:t>with which</w:t>
      </w:r>
      <w:r w:rsidRPr="003F044F">
        <w:t xml:space="preserve"> the prehuman supposedly identifies. That is, the feeling of proximity with the apparition can only come about if the prehuman is him/herself but an apparition or poorly formed idea. In his essay on “Prehistoric Religion,” Bataille notes: </w:t>
      </w:r>
    </w:p>
    <w:p w:rsidR="002D463E" w:rsidRPr="003F044F" w:rsidRDefault="002D463E" w:rsidP="002D463E">
      <w:pPr>
        <w:ind w:left="720"/>
      </w:pPr>
      <w:r w:rsidRPr="003F044F">
        <w:t xml:space="preserve">the apparition of the animal was not, to the man who astonished himself by making it appear, the apparition of a definable object, like the apparition in our </w:t>
      </w:r>
      <w:r w:rsidRPr="003F044F">
        <w:lastRenderedPageBreak/>
        <w:t xml:space="preserve">day of beef at the butcher that we cut up and weigh. That which appeared had at first a significance that was scarcely accessible, </w:t>
      </w:r>
      <w:r w:rsidRPr="003F044F">
        <w:rPr>
          <w:i/>
        </w:rPr>
        <w:t>beyond</w:t>
      </w:r>
      <w:r w:rsidRPr="003F044F">
        <w:t xml:space="preserve"> what could have been defined. Precisely this equivocal, indefinable meaning was religious (135). </w:t>
      </w:r>
    </w:p>
    <w:p w:rsidR="002D463E" w:rsidRPr="003F044F" w:rsidRDefault="002D463E" w:rsidP="002D463E"/>
    <w:p w:rsidR="002D463E" w:rsidRPr="003F044F" w:rsidRDefault="002D463E" w:rsidP="002D463E">
      <w:r w:rsidRPr="003F044F">
        <w:t>This begins to address the magical, ritualistic interpretation of the paintings. The treatment of the animals (ibrexes, aurochs, horses, etc.) testify to a care and wonder in the execution of what is beyond, indeterminate, just as much as it unsettles the difference between the prehuman and the animal. And it is this point that I wish to emphasize here. The prehuman sees him/herself in the apparition of the animal, but inasmuch as the animal was inaccessible and impermanent, so too then is the prehuman within his/her own eyes. The prehuman, as we are calling this indeterminate being (</w:t>
      </w:r>
      <w:r w:rsidRPr="003F044F">
        <w:rPr>
          <w:i/>
        </w:rPr>
        <w:t>Homo floresiensis</w:t>
      </w:r>
      <w:r w:rsidRPr="003F044F">
        <w:t xml:space="preserve">, </w:t>
      </w:r>
      <w:r w:rsidRPr="003F044F">
        <w:rPr>
          <w:i/>
        </w:rPr>
        <w:t>Homo neanderthlensis</w:t>
      </w:r>
      <w:r w:rsidRPr="003F044F">
        <w:t xml:space="preserve">, </w:t>
      </w:r>
      <w:r w:rsidRPr="003F044F">
        <w:rPr>
          <w:i/>
        </w:rPr>
        <w:t>Homo rhodesiensis</w:t>
      </w:r>
      <w:r w:rsidRPr="003F044F">
        <w:t xml:space="preserve">, or even early </w:t>
      </w:r>
      <w:r w:rsidRPr="003F044F">
        <w:rPr>
          <w:i/>
        </w:rPr>
        <w:t>Homo sapiens</w:t>
      </w:r>
      <w:r w:rsidRPr="003F044F">
        <w:t xml:space="preserve"> would likely be more scientific names), would have been by definition literally between a past animality and our present humanity (assuming, of course, that we abide by these conceptual categories). This passage, it goes without saying, was far from a precise moment in time, but rather a “slow change, a change of infinite discretion” (145). As enacted through these paintings, however, we witness the figurative mirroring of this passage. On the one hand, Bataille will note that the prehumans left us images of the animality that they had escaped, whereby they stopped being animal-like by </w:t>
      </w:r>
      <w:r w:rsidRPr="003F044F">
        <w:rPr>
          <w:i/>
        </w:rPr>
        <w:t>giving</w:t>
      </w:r>
      <w:r w:rsidRPr="003F044F">
        <w:t xml:space="preserve"> the animal in an act just short of a sacrifice (60), while on the other hand he will also state that the “images they left us amply testify to a humanity that did not clearly and distinctly distinguish itself from animality, a humanity that had not transcended animality” (55). </w:t>
      </w:r>
    </w:p>
    <w:p w:rsidR="002D463E" w:rsidRPr="003F044F" w:rsidRDefault="002D463E" w:rsidP="002D463E"/>
    <w:p w:rsidR="002D463E" w:rsidRPr="003F044F" w:rsidRDefault="002D463E" w:rsidP="002D463E">
      <w:r w:rsidRPr="003F044F">
        <w:t>I believe, therefore, that the interpretation of the paintings as religious ritual – what has been called a functional or utilitarian interpretation – already carries within it the more celebrated interpretation of what Akira Mizuta Lippit calls the “arche-epistemology of a primal scene – humanity’s eruption onto the surface of the earth.”</w:t>
      </w:r>
      <w:r w:rsidRPr="003F044F">
        <w:rPr>
          <w:rStyle w:val="FootnoteReference"/>
        </w:rPr>
        <w:footnoteReference w:id="7"/>
      </w:r>
      <w:r w:rsidRPr="003F044F">
        <w:t xml:space="preserve"> All interpretations boil down to this ontological eruption.</w:t>
      </w:r>
    </w:p>
    <w:p w:rsidR="002D463E" w:rsidRPr="003F044F" w:rsidRDefault="002D463E" w:rsidP="002D463E">
      <w:pPr>
        <w:ind w:firstLine="720"/>
      </w:pPr>
    </w:p>
    <w:p w:rsidR="002D463E" w:rsidRPr="003F044F" w:rsidRDefault="002D463E" w:rsidP="00E35253">
      <w:pPr>
        <w:pStyle w:val="Heading3"/>
      </w:pPr>
      <w:r w:rsidRPr="003F044F">
        <w:lastRenderedPageBreak/>
        <w:t>Deformed humanity</w:t>
      </w:r>
    </w:p>
    <w:p w:rsidR="002D463E" w:rsidRPr="003F044F" w:rsidRDefault="002D463E" w:rsidP="002D463E"/>
    <w:p w:rsidR="002D463E" w:rsidRPr="003F044F" w:rsidRDefault="002D463E" w:rsidP="002D463E">
      <w:r w:rsidRPr="003F044F">
        <w:t xml:space="preserve">The only thing that might rival the hyperbole surrounding the sudden appearance of humanity upon the scene of prehistory is the pictorial representation of this emergence. As already hinted at earlier, we have yet to view a naturalistic representation of the prehuman within these prehistoric caves. Despite the detail captured in the wealth of animal imagery (e.g., consider the movement captured in the “Falling Cow”), at no point does this realism translate into human figures. They are almost </w:t>
      </w:r>
      <w:r w:rsidRPr="003F044F">
        <w:rPr>
          <w:i/>
        </w:rPr>
        <w:t>a priori</w:t>
      </w:r>
      <w:r w:rsidRPr="003F044F">
        <w:t xml:space="preserve"> disfigured. The erasure and defacement of the human therefore threatens to steal the thunder from the bold claims of </w:t>
      </w:r>
      <w:r w:rsidRPr="003F044F">
        <w:rPr>
          <w:i/>
        </w:rPr>
        <w:t>Ecce homo</w:t>
      </w:r>
      <w:r w:rsidRPr="003F044F">
        <w:t xml:space="preserve">. Rather than beholding the magnificence of the human, we are left to behold the almost human who appear to “flee their humanity” (65). “In fact,” Bataille writes, “when he was ‘born,’ he did not prefer what he would eventually become, </w:t>
      </w:r>
      <w:r w:rsidRPr="003F044F">
        <w:rPr>
          <w:i/>
        </w:rPr>
        <w:t>that which he is</w:t>
      </w:r>
      <w:r w:rsidRPr="003F044F">
        <w:t xml:space="preserve">: the creator of a world of durable things. On the contrary, he effaced the aspects of this world of which his face is the sign. He had not yet prevailed, but he apologized” (80). And perhaps even blushed or laughed at his own immodesty and indecency, indeed even at his own ugliness in comparison to the beauty found in the bulls, horses, and bison (79). </w:t>
      </w:r>
    </w:p>
    <w:p w:rsidR="002D463E" w:rsidRPr="003F044F" w:rsidRDefault="002D463E" w:rsidP="002D463E"/>
    <w:p w:rsidR="002D463E" w:rsidRPr="003F044F" w:rsidRDefault="002D463E" w:rsidP="002D463E">
      <w:r w:rsidRPr="003F044F">
        <w:t xml:space="preserve">The retreat from his/her own image may in fact be in response to a transgression depicted within and by these paintings. The step from prehuman to human enacts the transgression of a law, even if it is only an implied law, as the gesture of a “sovereign infraction” on the part of the artist (Blanchot, 1997: 5). Blanchot, in his essay “The Birth of Art,” notes two essential moments of prehistoric transgression: the first is what we might call a “natural transgression” when the prehuman stands erect, defies the laws of nature, and rises up almost in awe of himself and the refutation of his biological predisposition. The infraction is less of a conscious willing than a biological determination. The second transgression noted by Blanchot is that of art itself, that, likely for the first time, demonstrates the prehumans’ capability to “become master of everything” via the imitation of nature (6). By comparison, the former transgression is deemed insufficient as a break from the natural order; a transgression, yes, but a relatively minor one, whereas the latter opens up an entirely new realm by breaking with the natural as such. Yet the most significant feature of this second transgression is not so much the art itself—which is admittedly </w:t>
      </w:r>
      <w:r w:rsidRPr="003F044F">
        <w:lastRenderedPageBreak/>
        <w:t>extraordinary—but the specific artistic depiction of humanity. The striking feature is that with the mastery of the natural world, as evinced in the birth of art, the human is both omnipresent and, at one and the same time, precisely nowhere to be found. The transgression effects an overcoming of animality but one wherein the self-mastery is sorely lacking. At one point Bataille describes this as a paradox, but calling it a paradox seems too innocent a description. “The paradox of the Upper Paleolithic world,” he writes in an essay on “The Lespugne Venus,” “is that it gave animals the expressive value of the real, whereas its representations of humans, much more rare, are occasionally formless, even caricatural, occasionally deformed, sometimes disfigured by an animal mask, which eliminates their humanity” (107). The transgression occurs when the prehuman foregoes further identification with the animals that have been so evocatively realized, and in doing so witnesses his/her own breaking of solidarity with the natural order (e.g., with the Montespan bear), leading to the extreme point of self-effacement (Guerlac, 2007: 34). The unease with one’s own image may just as well be a sense of shame rendered in the absence of a reciprocating gaze; an embarrassed blush of reason in the refusal of self-identification.</w:t>
      </w:r>
    </w:p>
    <w:p w:rsidR="002D463E" w:rsidRPr="003F044F" w:rsidRDefault="002D463E" w:rsidP="002D463E"/>
    <w:p w:rsidR="002D463E" w:rsidRPr="003F044F" w:rsidRDefault="002D463E" w:rsidP="002D463E">
      <w:r w:rsidRPr="003F044F">
        <w:t xml:space="preserve">We are beginning to get to the point where we might question what is really at stake in the supposed birth of humanity. It is starting to look like a fraught adventure inasmuch as the indeterminacy of the prehuman threatens the positive determination of a certain way of being called ‘human.’ In an essay on “Primitive Art” published some 20-30 years earlier than his Lascaux writings (and thus 10 years before Lascaux’s “discovery”), Bataille had already put his finger on the issue when he contrasted traditional European art with the </w:t>
      </w:r>
    </w:p>
    <w:p w:rsidR="002D463E" w:rsidRPr="003F044F" w:rsidRDefault="002D463E" w:rsidP="002D463E">
      <w:pPr>
        <w:ind w:left="720"/>
      </w:pPr>
      <w:r w:rsidRPr="003F044F">
        <w:t xml:space="preserve">shocking duality at the beginning of figurative representation. Reindeer, bison, and horses are shown with a meticulousness so perfect that if we had similarly scrupulous pictures of men themselves, the remotest period of human development would cease to be the most inaccessible. But the drawings and sculptures that represent the Aurignacians are nearly all formless and </w:t>
      </w:r>
      <w:r w:rsidRPr="003F044F">
        <w:rPr>
          <w:i/>
        </w:rPr>
        <w:t>much less human</w:t>
      </w:r>
      <w:r w:rsidRPr="003F044F">
        <w:t xml:space="preserve"> than those that represent animals (40).</w:t>
      </w:r>
    </w:p>
    <w:p w:rsidR="002D463E" w:rsidRPr="003F044F" w:rsidRDefault="002D463E" w:rsidP="002D463E"/>
    <w:p w:rsidR="002D463E" w:rsidRPr="003F044F" w:rsidRDefault="002D463E" w:rsidP="002D463E">
      <w:r w:rsidRPr="003F044F">
        <w:t xml:space="preserve">Why is it that there are no corresponding images of those who painted these images and carved these figures? That the represented animals might be </w:t>
      </w:r>
      <w:r w:rsidRPr="003F044F">
        <w:rPr>
          <w:i/>
        </w:rPr>
        <w:t>more</w:t>
      </w:r>
      <w:r w:rsidRPr="003F044F">
        <w:t xml:space="preserve"> human than the images of the prehumans, as Bataille notes, likely says more about the artists themselves than the accuracy of the images. One reading would be to suggest the autoerotic nature of the prehuman figures. Following Claude Lévi-Strauss, Bataille argues that though animals have a sense of sexuality they do not have the more developed, cerebral aspect implied by eroticism (e.g., taking a stone carving </w:t>
      </w:r>
      <w:r w:rsidRPr="003F044F">
        <w:rPr>
          <w:i/>
        </w:rPr>
        <w:t>as</w:t>
      </w:r>
      <w:r w:rsidRPr="003F044F">
        <w:t xml:space="preserve"> a sexual object). Thus the blossoming of sexual organs is often accentuated in the folds and extensions of flesh. And yet this is still at the expense of human figuration, in which the expression of individuality has been suppressed in the featureless, anonymous, and exaggerated bodies (112). Even if it is possible that these images and figures had an erotic meaning, Bataille himself admits that it is highly debatable given the lack of corroborative evidence. We would also have to question Bataille’s implicit acceptance of the more erotic nature of humanity.</w:t>
      </w:r>
    </w:p>
    <w:p w:rsidR="002D463E" w:rsidRPr="003F044F" w:rsidRDefault="002D463E" w:rsidP="002D463E"/>
    <w:p w:rsidR="002D463E" w:rsidRPr="003F044F" w:rsidRDefault="002D463E" w:rsidP="002D463E">
      <w:r w:rsidRPr="003F044F">
        <w:t xml:space="preserve">Another reading would be to highlight the </w:t>
      </w:r>
      <w:r w:rsidRPr="003F044F">
        <w:rPr>
          <w:i/>
        </w:rPr>
        <w:t>formless</w:t>
      </w:r>
      <w:r w:rsidRPr="003F044F">
        <w:t xml:space="preserve"> itself, be it erotic or otherwise. The concept of the “formless” (</w:t>
      </w:r>
      <w:r w:rsidRPr="003F044F">
        <w:rPr>
          <w:i/>
        </w:rPr>
        <w:t>informe</w:t>
      </w:r>
      <w:r w:rsidRPr="003F044F">
        <w:t>) had already been canonized in the untraditional encyclopaedia Bataille had been working on in the late 1920s, around the same time as this last passage. As it is a key concept within his writings, and it recurs frequently throughout the Lascaux writings, I quote at length:</w:t>
      </w:r>
    </w:p>
    <w:p w:rsidR="002D463E" w:rsidRPr="003F044F" w:rsidRDefault="002D463E" w:rsidP="00A30E4F">
      <w:pPr>
        <w:pStyle w:val="ListParagraph"/>
        <w:spacing w:line="360" w:lineRule="auto"/>
        <w:jc w:val="both"/>
        <w:rPr>
          <w:rFonts w:ascii="Times New Roman" w:hAnsi="Times New Roman"/>
        </w:rPr>
      </w:pPr>
      <w:r w:rsidRPr="003F044F">
        <w:rPr>
          <w:rFonts w:ascii="Times New Roman" w:hAnsi="Times New Roman"/>
        </w:rPr>
        <w:t xml:space="preserve">A dictionary begins when it no longer gives the meaning of words, but their tasks. Thus </w:t>
      </w:r>
      <w:r w:rsidRPr="003F044F">
        <w:rPr>
          <w:rFonts w:ascii="Times New Roman" w:hAnsi="Times New Roman"/>
          <w:i/>
        </w:rPr>
        <w:t>formless</w:t>
      </w:r>
      <w:r w:rsidRPr="003F044F">
        <w:rPr>
          <w:rFonts w:ascii="Times New Roman" w:hAnsi="Times New Roman"/>
        </w:rPr>
        <w:t xml:space="preserve"> is not only an adjective having a given meaning, but a term that serves to bring things down in the world, generally requiring that each thing have its form. What it designates has no rights in any sense and gets itself squashed everywhere, like a spider or an earthworm. In fact, for academic men to be happy, the universe would have to take shape. All of philosophy has no other goal: it is a matter of giving a frock coat to what is, a mathematical frock coat. On the other hand, affirming that the universe resembles nothing and is only </w:t>
      </w:r>
      <w:r w:rsidRPr="003F044F">
        <w:rPr>
          <w:rFonts w:ascii="Times New Roman" w:hAnsi="Times New Roman"/>
          <w:i/>
        </w:rPr>
        <w:t>formless</w:t>
      </w:r>
      <w:r w:rsidRPr="003F044F">
        <w:rPr>
          <w:rFonts w:ascii="Times New Roman" w:hAnsi="Times New Roman"/>
        </w:rPr>
        <w:t xml:space="preserve"> amounts to saying that the universe is something like a spider or spit (31).</w:t>
      </w:r>
    </w:p>
    <w:p w:rsidR="002D463E" w:rsidRPr="003F044F" w:rsidRDefault="002D463E" w:rsidP="002D463E"/>
    <w:p w:rsidR="002D463E" w:rsidRPr="003F044F" w:rsidRDefault="002D463E" w:rsidP="002D463E">
      <w:r w:rsidRPr="003F044F">
        <w:t xml:space="preserve">Bataille repeatedly refers to prehistoric depictions of humans as formless, whether with the bird-man in Lascaux (to which I’ll return in a moment), or the Venus of Willendorf, or the Lespugne Venus. Often these images are called “grotesque,” “featureless” (112), “unfinished” (79), the “stupefying negation of man” (46), or more consistently, simply “deformed” (which carries a more pejorative sense, as in “loss of form,” than the slightly more neutral “formless”). Of the few images of deformed humanity, there is one in particular that captures Bataille’s attention, just as it has captured the attention of many both before and since. It is the image of a bird-man found in the “Shaft” section of Lascaux, the deepest and most inaccessible part, where, in child-like form, the bird-man lies (wounded? dead? resting? in a trance? erect?) beside an impaled bison and a small bird. Concerning this scene, which Bataille calls “the holiest of holies,” we discover “a measure of this world; it is even </w:t>
      </w:r>
      <w:r w:rsidRPr="003F044F">
        <w:rPr>
          <w:i/>
        </w:rPr>
        <w:t>the</w:t>
      </w:r>
      <w:r w:rsidRPr="003F044F">
        <w:t xml:space="preserve"> measure of this world” (137).</w:t>
      </w:r>
    </w:p>
    <w:p w:rsidR="002D463E" w:rsidRPr="003F044F" w:rsidRDefault="002D463E" w:rsidP="002D463E"/>
    <w:p w:rsidR="008C556A" w:rsidRDefault="002D463E" w:rsidP="008C556A">
      <w:r w:rsidRPr="003F044F">
        <w:t xml:space="preserve">When the art critics Rosalind Krauss and Yves-Alain Bois looked to offer a substantially new interpretation of modernist art in the twentieth century, they found their guiding principle in Bataille’s notion of the formless inasmuch as it provided an avenue to counteract the entrenched binary between content and form. Bois explains in the “Introduction” to </w:t>
      </w:r>
      <w:r w:rsidRPr="003F044F">
        <w:rPr>
          <w:i/>
        </w:rPr>
        <w:t>Formless: A User’s Guide</w:t>
      </w:r>
      <w:r w:rsidRPr="003F044F">
        <w:t xml:space="preserve">, “It is not so much a stable motif to which we can refer, a symbolizable theme, a given quality, as it is a term allowing one to operate a declassification, in the double sense of lowering and of taxonomic disorder. Nothing in-and-of-itself, the formless has only an operational existence…The formless is an operation” (1997: 18). Just as the cave paintings have been interpreted as rendering the animal present in the </w:t>
      </w:r>
      <w:r w:rsidRPr="003F044F">
        <w:rPr>
          <w:i/>
        </w:rPr>
        <w:t>act</w:t>
      </w:r>
      <w:r w:rsidRPr="003F044F">
        <w:t xml:space="preserve"> of painting (where the final product is secondary to the apparition itself), the images of the formless prehumans can be read as active operations of self-negation, albeit where the images themselves enact the declassification operative in the act of painting. It is in this sense that Adorno, for instance, views the paintings as “a protest against reification” (327), almost as if the prehuman wished to mark a trace before vanishing back into the universe. In the end, this is what Blanchot took to be the bird-man’s simplicity: “it seems to me,” he writes, “that the meaning of this obscure drawing is nonetheless clear: it is the first signature of the first painting” (11), as if pronouncing “here I am,” even if the ‘I’ in question is more than indeterminate. A signature of whom, then? Might we not take this to be the sublimity of “the holiest of the holies,” the transgression at the heart of humanity’s birth? Consider, for instance, how Kant (2007) describes the sublime as, by definition, formless. Compared to the form of beauty, “the sublime is to be found in an object even devoid of form, so far as it immediately involves, or else by its presence provokes, a representation of </w:t>
      </w:r>
      <w:r w:rsidRPr="003F044F">
        <w:rPr>
          <w:i/>
        </w:rPr>
        <w:t>limitlessness</w:t>
      </w:r>
      <w:r w:rsidRPr="003F044F">
        <w:t>, yet with a super-added thought of totality” (244).</w:t>
      </w:r>
      <w:r w:rsidRPr="003F044F">
        <w:rPr>
          <w:rStyle w:val="FootnoteReference"/>
        </w:rPr>
        <w:footnoteReference w:id="8"/>
      </w:r>
      <w:r w:rsidRPr="003F044F">
        <w:t xml:space="preserve"> Aren’t these formless prehumans, lacking the frockcoats of an ordering mind, just such a representation of limitlessness? Isn’t the sublimity of these prehuman images precisely to be found in the mind’s recognition of the impossibility </w:t>
      </w:r>
      <w:r w:rsidR="008C556A">
        <w:t xml:space="preserve">of its own finished humanity? </w:t>
      </w:r>
    </w:p>
    <w:p w:rsidR="002D463E" w:rsidRPr="003F044F" w:rsidRDefault="008C556A" w:rsidP="008C556A">
      <w:r>
        <w:t xml:space="preserve"> </w:t>
      </w:r>
    </w:p>
    <w:p w:rsidR="002D463E" w:rsidRPr="003F044F" w:rsidRDefault="002D463E" w:rsidP="00E35253">
      <w:pPr>
        <w:pStyle w:val="Heading3"/>
      </w:pPr>
      <w:r w:rsidRPr="003F044F">
        <w:t>A Vibration of Appearances</w:t>
      </w:r>
    </w:p>
    <w:p w:rsidR="002D463E" w:rsidRPr="003F044F" w:rsidRDefault="002D463E" w:rsidP="002D463E"/>
    <w:p w:rsidR="002D463E" w:rsidRPr="003F044F" w:rsidRDefault="002D463E" w:rsidP="002D463E">
      <w:r w:rsidRPr="003F044F">
        <w:t xml:space="preserve">The limitlessness entailed by the absence of form is, from another perspective, the perpetual rebirth of humanity as accomplished through the simple act of vision. To perceive is none other than to give birth to oneself in the reciprocity of the world. Perceptual experience, as Merleau-Ponty will often note, is the precondition of humanity as a “nascent </w:t>
      </w:r>
      <w:r w:rsidRPr="003F044F">
        <w:rPr>
          <w:i/>
        </w:rPr>
        <w:t>logos</w:t>
      </w:r>
      <w:r w:rsidRPr="003F044F">
        <w:t xml:space="preserve">,” as the birth of knowledge making the sensible sensible (Merleau-Ponty, 1964:25). This rebirth of the human condition is accomplished, in an extraordinary way, through the act of painting, which works to render the invisible visible. At roughly the same time, then, that Bataille was composing his thoughts on prehistoric art, Merleau-Ponty formulated some of his most influential writings on art and nature, and in which, perhaps unsurprisingly, Lascaux emerges. In his 1952 essay on “Indirect Language and the Voices of Silence,” an essay dedicated to Jean-Paul Sartre but largely devoted to André Malraux (who had just published a large treatise on art entitled </w:t>
      </w:r>
      <w:r w:rsidRPr="003F044F">
        <w:rPr>
          <w:i/>
        </w:rPr>
        <w:t>The Voices of Silence</w:t>
      </w:r>
      <w:r w:rsidRPr="003F044F">
        <w:t xml:space="preserve">), Merleau-Ponty remarks that “The first sketches on the walls of caves set forth the world as ‘to be painted’ or ‘to be sketched’ and called for an indefinite future of painting, so that they speak to us and we answer them by metamorphoses in which they collaborate with us” (1964c: 60). Most intriguing in this passage is the reference to a “metamorphosis” through which we respond to the paintings. It is not entirely clear what Merleau-Ponty means here, other than that our relations with this archaic past calls for a continuous exchange wherein both past and present are hermeneutically revived and, through the exchange, ultimately transformed. But a metamorphosis also suggests something far more interesting and surreal. One imagines modern humanity emerging transformed from out of the atemporal cocoon of its prehuman larval stage, much like a butterfly that emerges triumphant through its pupal transformation. In a later essay, “Eye and Mind,” Merleau-Ponty will similarly speak of the “metamorphosis of Being” by which objects (e.g., an animal, a mountain) </w:t>
      </w:r>
      <w:r w:rsidRPr="003F044F">
        <w:rPr>
          <w:i/>
        </w:rPr>
        <w:t>make</w:t>
      </w:r>
      <w:r w:rsidRPr="003F044F">
        <w:t xml:space="preserve"> themselves visible to the eye. Either way, we have a reciprocal transition of form inaugurated by the primacy of perception.</w:t>
      </w:r>
    </w:p>
    <w:p w:rsidR="002D463E" w:rsidRPr="003F044F" w:rsidRDefault="002D463E" w:rsidP="002D463E"/>
    <w:p w:rsidR="002D463E" w:rsidRDefault="002D463E" w:rsidP="008C556A">
      <w:r w:rsidRPr="003F044F">
        <w:t>Throughout his aesthetic writings, Merleau-Ponty will often indicate that artworks are evocative not only of metamorphoses, but also of magic, delirium, ghosts, strange possessions, hauntings, and oneiric universes, all in the name of the visible itself.</w:t>
      </w:r>
      <w:r w:rsidRPr="003F044F">
        <w:rPr>
          <w:rStyle w:val="FootnoteReference"/>
        </w:rPr>
        <w:footnoteReference w:id="9"/>
      </w:r>
      <w:r w:rsidRPr="003F044F">
        <w:t xml:space="preserve"> It is through the act of perception that the perceiving subject is continuously reborn, and inasmuch as the painter plays directly with the realm of the visible, she brings a world to life. But it is not any old world, since the painted world is, by all accounts, a spectral one, lending shadows, light, reflections, and the like, a ghostly presence. A visual existence that is neither real nor unreal, neither nature itself nor its imitation, it holds a strange possession all of its own. It is in this sense that painting can be said to give “visible existence to what profane vision believes to be invisible” (1964b: 166). Compared with the profanity of perception, the painted image is always already haunted with the sacred and magical such that, for Merleau-Ponty, the very act of painting is congruent with a passage back and forth between the prehuman and the human. The indefinite future of painting plays upon this very transition, for without this process the act</w:t>
      </w:r>
      <w:r w:rsidR="008C556A">
        <w:t xml:space="preserve"> of painting may be at its end.</w:t>
      </w:r>
    </w:p>
    <w:p w:rsidR="008C556A" w:rsidRPr="003F044F" w:rsidRDefault="008C556A" w:rsidP="008C556A"/>
    <w:p w:rsidR="002D463E" w:rsidRPr="003F044F" w:rsidRDefault="002D463E" w:rsidP="002D463E">
      <w:r w:rsidRPr="003F044F">
        <w:t xml:space="preserve">This is a departure, then, from Bataille’s thesis concerning the birth of humanity as discovered </w:t>
      </w:r>
      <w:r w:rsidRPr="003F044F">
        <w:rPr>
          <w:i/>
        </w:rPr>
        <w:t>in</w:t>
      </w:r>
      <w:r w:rsidRPr="003F044F">
        <w:t xml:space="preserve"> prehistoric art. By contrast, the birth of humanity is for Merleau-Ponty omnipresent in </w:t>
      </w:r>
      <w:r w:rsidRPr="003F044F">
        <w:rPr>
          <w:i/>
        </w:rPr>
        <w:t>every</w:t>
      </w:r>
      <w:r w:rsidRPr="003F044F">
        <w:t xml:space="preserve"> painting, be it 40,000 years ago or just last week. It is in this way that he can contend “In whatever civilization it is born, from whatever beliefs, motives, or thoughts, no matter what ceremonies surround it—and even when it appears devoted to something else—from Lascaux to our time, pure or impure, figurative or not, painting celebrates no other enigma but that of visibility” (165-66). While the emergence of being human carries for Bataille a quasi-evolutionary index, as evidenced in the rupture of the Lascaux paintings that mark past from present, animal from human, with Merleau-Ponty there is an abrupt abandonment of any historical register, inasmuch as the very accomplishment of painting </w:t>
      </w:r>
      <w:r w:rsidRPr="003F044F">
        <w:rPr>
          <w:i/>
        </w:rPr>
        <w:t>itself</w:t>
      </w:r>
      <w:r w:rsidRPr="003F044F">
        <w:t xml:space="preserve"> is the ontological metamorphosis. It </w:t>
      </w:r>
      <w:r w:rsidRPr="003F044F">
        <w:rPr>
          <w:i/>
        </w:rPr>
        <w:t>is</w:t>
      </w:r>
      <w:r w:rsidRPr="003F044F">
        <w:t xml:space="preserve"> the testament to perception, the sacred act of witnessing the invisible, the continuous rebirth of the human.</w:t>
      </w:r>
      <w:r w:rsidRPr="003F044F">
        <w:rPr>
          <w:rStyle w:val="FootnoteReference"/>
        </w:rPr>
        <w:footnoteReference w:id="10"/>
      </w:r>
      <w:r w:rsidRPr="003F044F">
        <w:t xml:space="preserve"> “It can be said,” Merleau-Ponty writes in his essay “Eye and Mind,” “that a human is born at the instant when something that was only virtually visible…becomes at one and the same time visible for itself and for us. The painter’s vision is a continued birth. …This prehuman way of seeing things is the painter’s way” (167-68).</w:t>
      </w:r>
      <w:r w:rsidRPr="003F044F">
        <w:rPr>
          <w:rStyle w:val="FootnoteReference"/>
        </w:rPr>
        <w:footnoteReference w:id="11"/>
      </w:r>
      <w:r w:rsidRPr="003F044F">
        <w:t xml:space="preserve"> </w:t>
      </w:r>
    </w:p>
    <w:p w:rsidR="002D463E" w:rsidRPr="003F044F" w:rsidRDefault="002D463E" w:rsidP="002D463E"/>
    <w:p w:rsidR="002D463E" w:rsidRPr="003F044F" w:rsidRDefault="002D463E" w:rsidP="002D463E">
      <w:r w:rsidRPr="003F044F">
        <w:t>If we follow Merleau-Ponty here, this would suggest that the paintings in Lascaux—including but not solely the therianthropic humans—can only ever be prehuman visions that are actualized as human. The passage between prehuman and human is accomplished in the act of painting. This would accord with the formless self-depictions, wherein the invisible is rendered visible, the prehuman made human, and yet the act is always unfinished due to the indeterminacy of the originating perception. Whereas the prehistoric caves hold for Bataille the mysteries that he calls the cradle of humanity, for Merleau-Ponty any and all paintings address “the vibration of appearances which is the cradle of things” (1964a: 18). To express the vibration of appearance is perhaps the best way to account for how these prehistoric paintings foretell and question humanity’s place in the world. Though they may elude full comprehension, there is little doubt they do so necessarily, since the figure of the prehuman haunts our existence with every dogged perception we have.</w:t>
      </w:r>
      <w:r w:rsidRPr="003F044F">
        <w:rPr>
          <w:rStyle w:val="FootnoteReference"/>
        </w:rPr>
        <w:footnoteReference w:id="12"/>
      </w:r>
      <w:r w:rsidRPr="003F044F">
        <w:t xml:space="preserve">  </w:t>
      </w:r>
    </w:p>
    <w:p w:rsidR="002D463E" w:rsidRDefault="002D463E" w:rsidP="002D463E"/>
    <w:p w:rsidR="00A30E4F" w:rsidRPr="003F044F" w:rsidRDefault="00A30E4F" w:rsidP="002D463E"/>
    <w:p w:rsidR="002D463E" w:rsidRPr="008C556A" w:rsidRDefault="002D463E" w:rsidP="00E35253">
      <w:pPr>
        <w:pStyle w:val="Heading3"/>
      </w:pPr>
      <w:r w:rsidRPr="008C556A">
        <w:t>References</w:t>
      </w:r>
    </w:p>
    <w:p w:rsidR="002D463E" w:rsidRPr="003F044F" w:rsidRDefault="002D463E" w:rsidP="002D463E"/>
    <w:p w:rsidR="002D463E" w:rsidRDefault="002D463E" w:rsidP="008C556A">
      <w:pPr>
        <w:pStyle w:val="References"/>
      </w:pPr>
      <w:r w:rsidRPr="003F044F">
        <w:t xml:space="preserve">Adorno, T. (1997), </w:t>
      </w:r>
      <w:r w:rsidRPr="003F044F">
        <w:rPr>
          <w:i/>
        </w:rPr>
        <w:t>Aesthetic Theory</w:t>
      </w:r>
      <w:r w:rsidRPr="003F044F">
        <w:t>, translated by Robert Hullot-Kentor, Minneapolis, MN: University of Minnesota Press.</w:t>
      </w:r>
    </w:p>
    <w:p w:rsidR="008C556A" w:rsidRPr="003F044F" w:rsidRDefault="008C556A" w:rsidP="008C556A">
      <w:pPr>
        <w:pStyle w:val="References"/>
      </w:pPr>
    </w:p>
    <w:p w:rsidR="002D463E" w:rsidRPr="003F044F" w:rsidRDefault="002D463E" w:rsidP="008C556A">
      <w:pPr>
        <w:pStyle w:val="References"/>
      </w:pPr>
      <w:r w:rsidRPr="003F044F">
        <w:t xml:space="preserve">Bataille, G. (1985), “Formless,” </w:t>
      </w:r>
      <w:r w:rsidRPr="003F044F">
        <w:rPr>
          <w:i/>
        </w:rPr>
        <w:t>Visions of Excess: Selected Writings, 1927-1939</w:t>
      </w:r>
      <w:r w:rsidR="008C556A">
        <w:t xml:space="preserve">, edited </w:t>
      </w:r>
      <w:r w:rsidRPr="003F044F">
        <w:t>and translated by Stoekl, A., Minneapolis, MN: University of Minnesota Press, 1985.</w:t>
      </w:r>
    </w:p>
    <w:p w:rsidR="002D463E" w:rsidRDefault="002D463E" w:rsidP="008C556A">
      <w:pPr>
        <w:pStyle w:val="References"/>
      </w:pPr>
      <w:r w:rsidRPr="003F044F">
        <w:t xml:space="preserve">Bataille, G. (1991), </w:t>
      </w:r>
      <w:r w:rsidRPr="003F044F">
        <w:rPr>
          <w:i/>
        </w:rPr>
        <w:t>The Accursed Share, Volume I: Consumption</w:t>
      </w:r>
      <w:r w:rsidRPr="003F044F">
        <w:t>, translated by Hurley, R., New York: Zone Books.</w:t>
      </w:r>
    </w:p>
    <w:p w:rsidR="008C556A" w:rsidRPr="003F044F" w:rsidRDefault="008C556A" w:rsidP="008C556A">
      <w:pPr>
        <w:pStyle w:val="References"/>
      </w:pPr>
    </w:p>
    <w:p w:rsidR="002D463E" w:rsidRDefault="002D463E" w:rsidP="008C556A">
      <w:pPr>
        <w:pStyle w:val="References"/>
      </w:pPr>
      <w:r w:rsidRPr="003F044F">
        <w:t xml:space="preserve">Bataille, G. (1994), </w:t>
      </w:r>
      <w:r w:rsidRPr="003F044F">
        <w:rPr>
          <w:i/>
        </w:rPr>
        <w:t>The Accursed Share, Volume II: The History of Eroticism</w:t>
      </w:r>
      <w:r w:rsidRPr="003F044F">
        <w:t>, translated by Hurley, R., New York: Zone Books.</w:t>
      </w:r>
    </w:p>
    <w:p w:rsidR="008C556A" w:rsidRPr="003F044F" w:rsidRDefault="008C556A" w:rsidP="008C556A">
      <w:pPr>
        <w:pStyle w:val="References"/>
      </w:pPr>
    </w:p>
    <w:p w:rsidR="002D463E" w:rsidRDefault="002D463E" w:rsidP="008C556A">
      <w:pPr>
        <w:pStyle w:val="References"/>
      </w:pPr>
      <w:r w:rsidRPr="003F044F">
        <w:t xml:space="preserve">Bataille, G. (2005), </w:t>
      </w:r>
      <w:r w:rsidRPr="003F044F">
        <w:rPr>
          <w:i/>
        </w:rPr>
        <w:t>The Cradle of Humanity: Prehistoric Art and Culture</w:t>
      </w:r>
      <w:r w:rsidRPr="003F044F">
        <w:t>, edited and translated by Kendall, S. and Kendall, M., New York: Zone Books, 2005.</w:t>
      </w:r>
    </w:p>
    <w:p w:rsidR="008C556A" w:rsidRPr="003F044F" w:rsidRDefault="008C556A" w:rsidP="008C556A">
      <w:pPr>
        <w:pStyle w:val="References"/>
      </w:pPr>
    </w:p>
    <w:p w:rsidR="002D463E" w:rsidRDefault="002D463E" w:rsidP="008C556A">
      <w:pPr>
        <w:pStyle w:val="References"/>
      </w:pPr>
      <w:r w:rsidRPr="003F044F">
        <w:t>Benjamin, W. (2002), “The Work of Art in the Age of its Technological</w:t>
      </w:r>
      <w:r w:rsidR="008C556A">
        <w:t xml:space="preserve"> </w:t>
      </w:r>
      <w:r w:rsidRPr="003F044F">
        <w:t xml:space="preserve">Reproducibility”, 2nd edn., </w:t>
      </w:r>
      <w:r w:rsidRPr="003F044F">
        <w:rPr>
          <w:i/>
        </w:rPr>
        <w:t>Selected Writings, Volume 3, 1935-1938</w:t>
      </w:r>
      <w:r w:rsidRPr="003F044F">
        <w:t>, Cambridge, MA: The Belknap Press, pp.101-133.</w:t>
      </w:r>
    </w:p>
    <w:p w:rsidR="008C556A" w:rsidRPr="003F044F" w:rsidRDefault="008C556A" w:rsidP="008C556A">
      <w:pPr>
        <w:pStyle w:val="References"/>
      </w:pPr>
    </w:p>
    <w:p w:rsidR="002D463E" w:rsidRDefault="002D463E" w:rsidP="008C556A">
      <w:pPr>
        <w:pStyle w:val="References"/>
      </w:pPr>
      <w:r w:rsidRPr="003F044F">
        <w:t xml:space="preserve">Blanchot, M. (1997), “The Birth of Art”, in </w:t>
      </w:r>
      <w:r w:rsidRPr="003F044F">
        <w:rPr>
          <w:i/>
        </w:rPr>
        <w:t>Friendship</w:t>
      </w:r>
      <w:r w:rsidR="008C556A">
        <w:t>, translated by Rottenberg, E.,</w:t>
      </w:r>
      <w:r w:rsidRPr="003F044F">
        <w:t>Stanford, CA: Stanford University Press, pp. 1-11.</w:t>
      </w:r>
    </w:p>
    <w:p w:rsidR="008C556A" w:rsidRPr="003F044F" w:rsidRDefault="008C556A" w:rsidP="008C556A">
      <w:pPr>
        <w:pStyle w:val="References"/>
      </w:pPr>
    </w:p>
    <w:p w:rsidR="002D463E" w:rsidRDefault="002D463E" w:rsidP="008C556A">
      <w:pPr>
        <w:pStyle w:val="References"/>
      </w:pPr>
      <w:r w:rsidRPr="003F044F">
        <w:t xml:space="preserve">Bois, Y. and Krauss, R. E. (1997), </w:t>
      </w:r>
      <w:r w:rsidRPr="003F044F">
        <w:rPr>
          <w:i/>
        </w:rPr>
        <w:t>Formless: A User’s Guide</w:t>
      </w:r>
      <w:r w:rsidR="008C556A">
        <w:t>, New York: Zone Books.</w:t>
      </w:r>
      <w:r w:rsidRPr="003F044F">
        <w:t xml:space="preserve">Caygill, H. (2002), “Digital Lascaux: The Beginning in the End of the Aesthetic”, </w:t>
      </w:r>
      <w:r w:rsidRPr="003F044F">
        <w:rPr>
          <w:i/>
        </w:rPr>
        <w:t>Angelaki</w:t>
      </w:r>
      <w:r w:rsidRPr="003F044F">
        <w:t>, 7, 1, pp. 19-25.</w:t>
      </w:r>
    </w:p>
    <w:p w:rsidR="008C556A" w:rsidRPr="003F044F" w:rsidRDefault="008C556A" w:rsidP="008C556A">
      <w:pPr>
        <w:pStyle w:val="References"/>
      </w:pPr>
    </w:p>
    <w:p w:rsidR="002D463E" w:rsidRDefault="002D463E" w:rsidP="008C556A">
      <w:pPr>
        <w:pStyle w:val="References"/>
      </w:pPr>
      <w:r w:rsidRPr="003F044F">
        <w:t xml:space="preserve">Guerlac, S. (1996), “Bataille in Theory: Afterimages (Lascaux)”, </w:t>
      </w:r>
      <w:r w:rsidRPr="003F044F">
        <w:rPr>
          <w:i/>
        </w:rPr>
        <w:t>diacritics</w:t>
      </w:r>
      <w:r w:rsidR="008C556A">
        <w:t>, 26, 2, pp. 6-</w:t>
      </w:r>
      <w:r w:rsidRPr="003F044F">
        <w:t>17.</w:t>
      </w:r>
    </w:p>
    <w:p w:rsidR="008C556A" w:rsidRPr="003F044F" w:rsidRDefault="008C556A" w:rsidP="008C556A">
      <w:pPr>
        <w:pStyle w:val="References"/>
      </w:pPr>
    </w:p>
    <w:p w:rsidR="002D463E" w:rsidRDefault="002D463E" w:rsidP="008C556A">
      <w:pPr>
        <w:pStyle w:val="References"/>
      </w:pPr>
      <w:r w:rsidRPr="003F044F">
        <w:t xml:space="preserve">Guerlac, S. (2007), “The Useless Image: Bataille, Bergson, Magritte”, </w:t>
      </w:r>
      <w:r w:rsidRPr="003F044F">
        <w:rPr>
          <w:i/>
        </w:rPr>
        <w:t>Representations</w:t>
      </w:r>
      <w:r w:rsidRPr="003F044F">
        <w:t>, 97, pp. 28-56.</w:t>
      </w:r>
    </w:p>
    <w:p w:rsidR="008C556A" w:rsidRPr="003F044F" w:rsidRDefault="008C556A" w:rsidP="008C556A">
      <w:pPr>
        <w:pStyle w:val="References"/>
      </w:pPr>
    </w:p>
    <w:p w:rsidR="002D463E" w:rsidRDefault="002D463E" w:rsidP="008C556A">
      <w:pPr>
        <w:pStyle w:val="References"/>
      </w:pPr>
      <w:r w:rsidRPr="003F044F">
        <w:t xml:space="preserve">Kant, I. (2007), </w:t>
      </w:r>
      <w:r w:rsidRPr="003F044F">
        <w:rPr>
          <w:i/>
        </w:rPr>
        <w:t>Critique of Judgement</w:t>
      </w:r>
      <w:r w:rsidRPr="003F044F">
        <w:t>, translated by Meredith, J. C. and Walker, N., New York, NY: Oxford University Press, 2007.</w:t>
      </w:r>
    </w:p>
    <w:p w:rsidR="008C556A" w:rsidRPr="003F044F" w:rsidRDefault="008C556A" w:rsidP="008C556A">
      <w:pPr>
        <w:pStyle w:val="References"/>
      </w:pPr>
    </w:p>
    <w:p w:rsidR="002D463E" w:rsidRDefault="002D463E" w:rsidP="008C556A">
      <w:pPr>
        <w:pStyle w:val="References"/>
      </w:pPr>
      <w:r w:rsidRPr="003F044F">
        <w:t>Lippit, A. M. (2002), “Archetexts: Lascaux, Eros</w:t>
      </w:r>
      <w:r w:rsidR="008C556A">
        <w:t xml:space="preserve">, and the Anamorphic Subject”, </w:t>
      </w:r>
      <w:r w:rsidRPr="003F044F">
        <w:rPr>
          <w:i/>
        </w:rPr>
        <w:t>Discourse</w:t>
      </w:r>
      <w:r w:rsidRPr="003F044F">
        <w:t>, 24. 2, pp. 18-29.</w:t>
      </w:r>
    </w:p>
    <w:p w:rsidR="008C556A" w:rsidRPr="003F044F" w:rsidRDefault="008C556A" w:rsidP="008C556A">
      <w:pPr>
        <w:pStyle w:val="References"/>
      </w:pPr>
    </w:p>
    <w:p w:rsidR="002D463E" w:rsidRDefault="002D463E" w:rsidP="008C556A">
      <w:pPr>
        <w:pStyle w:val="References"/>
      </w:pPr>
      <w:r w:rsidRPr="003F044F">
        <w:t xml:space="preserve">Merleau-Ponty, M. (1964a), “Cézanne’s Doubt”, </w:t>
      </w:r>
      <w:r w:rsidRPr="003F044F">
        <w:rPr>
          <w:i/>
        </w:rPr>
        <w:t>Sense and Non-Sense</w:t>
      </w:r>
      <w:r w:rsidRPr="003F044F">
        <w:t>, translated by Dreyfus, H. L. and Dreyfus, P. A., Evanston, IL: Northwestern University Press, pp. 9-25.</w:t>
      </w:r>
    </w:p>
    <w:p w:rsidR="008C556A" w:rsidRPr="003F044F" w:rsidRDefault="008C556A" w:rsidP="008C556A">
      <w:pPr>
        <w:pStyle w:val="References"/>
      </w:pPr>
    </w:p>
    <w:p w:rsidR="002D463E" w:rsidRDefault="002D463E" w:rsidP="008C556A">
      <w:pPr>
        <w:pStyle w:val="References"/>
      </w:pPr>
      <w:r w:rsidRPr="003F044F">
        <w:t xml:space="preserve">Merleau-Ponty, M. (1964b), “Eye and Mind”, in Edie, J. M. (ed.) </w:t>
      </w:r>
      <w:r w:rsidRPr="003F044F">
        <w:rPr>
          <w:i/>
        </w:rPr>
        <w:t>The Primacy of Perception</w:t>
      </w:r>
      <w:r w:rsidRPr="003F044F">
        <w:t>, Evanston, IL: Northwestern University Press, pp. 159-190.</w:t>
      </w:r>
    </w:p>
    <w:p w:rsidR="008C556A" w:rsidRPr="003F044F" w:rsidRDefault="008C556A" w:rsidP="008C556A">
      <w:pPr>
        <w:pStyle w:val="References"/>
      </w:pPr>
    </w:p>
    <w:p w:rsidR="002D463E" w:rsidRDefault="002D463E" w:rsidP="008C556A">
      <w:pPr>
        <w:pStyle w:val="References"/>
      </w:pPr>
      <w:r w:rsidRPr="003F044F">
        <w:t xml:space="preserve">Merleau-Ponty, M. (1964c), “Indirect Language and the Voices of Silence”, in McCleary, R. C. (ed.) </w:t>
      </w:r>
      <w:r w:rsidRPr="003F044F">
        <w:rPr>
          <w:i/>
        </w:rPr>
        <w:t>Signs</w:t>
      </w:r>
      <w:r w:rsidRPr="003F044F">
        <w:t>, Evanston, IL: Northwestern University Press, pp. 39-83.</w:t>
      </w:r>
    </w:p>
    <w:p w:rsidR="008C556A" w:rsidRPr="003F044F" w:rsidRDefault="008C556A" w:rsidP="008C556A">
      <w:pPr>
        <w:pStyle w:val="References"/>
      </w:pPr>
    </w:p>
    <w:p w:rsidR="002D463E" w:rsidRDefault="002D463E" w:rsidP="008C556A">
      <w:pPr>
        <w:pStyle w:val="References"/>
      </w:pPr>
      <w:r w:rsidRPr="003F044F">
        <w:t xml:space="preserve">Merleau-Ponty, M. (1964d), “The Primacy of Perception”, in Edie, J. M. (ed.) </w:t>
      </w:r>
      <w:r w:rsidRPr="003F044F">
        <w:rPr>
          <w:i/>
        </w:rPr>
        <w:t>The Primacy of Perception</w:t>
      </w:r>
      <w:r w:rsidRPr="003F044F">
        <w:t>, Evanston, IL: Northwestern University Press, pp. 12-42.</w:t>
      </w:r>
    </w:p>
    <w:p w:rsidR="008C556A" w:rsidRPr="003F044F" w:rsidRDefault="008C556A" w:rsidP="008C556A">
      <w:pPr>
        <w:pStyle w:val="References"/>
      </w:pPr>
    </w:p>
    <w:p w:rsidR="002D463E" w:rsidRDefault="002D463E" w:rsidP="008C556A">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rsidRPr="003F044F">
        <w:t xml:space="preserve">Ungar, S. (1990), “Phantom Lascaux: Origin of the Work of Art”, </w:t>
      </w:r>
      <w:r w:rsidRPr="003F044F">
        <w:rPr>
          <w:i/>
        </w:rPr>
        <w:t>Yale French Studies</w:t>
      </w:r>
      <w:r w:rsidR="008C556A">
        <w:t>, 78, pp. 246-262.</w:t>
      </w:r>
    </w:p>
    <w:p w:rsidR="002D463E" w:rsidRDefault="002D463E" w:rsidP="00F63083">
      <w:pPr>
        <w:pStyle w:val="Heading1"/>
      </w:pPr>
      <w:bookmarkStart w:id="75" w:name="_Toc292202627"/>
      <w:r w:rsidRPr="0060332B">
        <w:t>Hunting the Mammoth, Pleistocene to Postmodern</w:t>
      </w:r>
      <w:bookmarkEnd w:id="75"/>
    </w:p>
    <w:p w:rsidR="008C556A" w:rsidRPr="008C556A" w:rsidRDefault="008C556A" w:rsidP="008C556A">
      <w:pPr>
        <w:rPr>
          <w:lang w:val="en-CA"/>
        </w:rPr>
      </w:pPr>
    </w:p>
    <w:p w:rsidR="002D463E" w:rsidRPr="0060332B" w:rsidRDefault="002D463E" w:rsidP="00F63083">
      <w:pPr>
        <w:pStyle w:val="Heading1"/>
      </w:pPr>
      <w:bookmarkStart w:id="76" w:name="_Toc292202628"/>
      <w:r w:rsidRPr="0060332B">
        <w:t>Matthew Chrulew</w:t>
      </w:r>
      <w:r w:rsidRPr="0060332B">
        <w:rPr>
          <w:rStyle w:val="FootnoteReference"/>
          <w:sz w:val="32"/>
          <w:szCs w:val="32"/>
          <w:lang w:val="en-US"/>
        </w:rPr>
        <w:footnoteReference w:id="13"/>
      </w:r>
      <w:bookmarkEnd w:id="76"/>
    </w:p>
    <w:p w:rsidR="002D463E" w:rsidRPr="0060332B" w:rsidRDefault="002D463E" w:rsidP="002D463E">
      <w:pPr>
        <w:rPr>
          <w:lang w:val="en-US"/>
        </w:rPr>
      </w:pPr>
    </w:p>
    <w:p w:rsidR="002D463E" w:rsidRPr="0060332B" w:rsidRDefault="002D463E" w:rsidP="002D463E">
      <w:pPr>
        <w:rPr>
          <w:lang w:val="en-US"/>
        </w:rPr>
      </w:pPr>
    </w:p>
    <w:p w:rsidR="002D463E" w:rsidRPr="0060332B" w:rsidRDefault="002D463E" w:rsidP="002D463E">
      <w:r w:rsidRPr="0060332B">
        <w:t xml:space="preserve">In the decades following the Second World War, Georges Bataille became fixated on that site of prehistoric becoming that his most prominent source, the Abbé Breuil, called “The Cradle of Humanity.” He devoted a number of essays and lectures to articulating the event of hominization that was increasingly being revealed by palaeo-archaeological evidence. In particular, he saw the cave art of Lascaux and other sites, with their sublime depictions of animals, as disclosing the advent of humanity. On a number of occasions he commented on the serendipity of these discoveries, on the weightiness of pondering </w:t>
      </w:r>
      <w:r w:rsidRPr="0060332B">
        <w:rPr>
          <w:i/>
        </w:rPr>
        <w:t>pre</w:t>
      </w:r>
      <w:r w:rsidRPr="0060332B">
        <w:t xml:space="preserve">history in the period widely marked in Bataille’s philosophical milieu, following Kojève’s lectures on Hegel, as that of history’s </w:t>
      </w:r>
      <w:r w:rsidRPr="0060332B">
        <w:rPr>
          <w:i/>
        </w:rPr>
        <w:t>end</w:t>
      </w:r>
      <w:r w:rsidRPr="0060332B">
        <w:t xml:space="preserve">. In a 1955 lecture he remarked that: </w:t>
      </w:r>
    </w:p>
    <w:p w:rsidR="002D463E" w:rsidRPr="0060332B" w:rsidRDefault="002D463E" w:rsidP="002D463E">
      <w:pPr>
        <w:spacing w:line="276" w:lineRule="auto"/>
      </w:pPr>
    </w:p>
    <w:p w:rsidR="002D463E" w:rsidRPr="0060332B" w:rsidRDefault="002D463E" w:rsidP="002D463E">
      <w:pPr>
        <w:ind w:left="737" w:right="737"/>
      </w:pPr>
      <w:r w:rsidRPr="0060332B">
        <w:t>It has become commonplace today to talk about the eventual extinction of human life. The latest atomic experiments made tangible the notion of radiation invading the atmosphere and creating conditions in which life in general could no longer thrive. ...I am simply struck by the fact that light is being shed on our birth at the very moment when the notion of our death appears to us. In fact, only recently have we begun to discern with a kind of clarity the earthly event that was the birth of man. (Bataille, 2005: 87)</w:t>
      </w:r>
    </w:p>
    <w:p w:rsidR="002D463E" w:rsidRPr="0060332B" w:rsidRDefault="002D463E" w:rsidP="002D463E"/>
    <w:p w:rsidR="002D463E" w:rsidRPr="0060332B" w:rsidRDefault="002D463E" w:rsidP="002D463E">
      <w:r w:rsidRPr="0060332B">
        <w:t>In his essay “Unlivable Earth?”, Bataille returns to this thought, suggesting that “We might have a sublime idea of the animal now that we have ceased being certain that one day the nuclear bomb will not make the planet an unlivable place for man” (2005: 178). Thus Bataille ties together the possibility of the end of history in anthropogenic ecological apocalypse with the thought of the advent of “man,” and what is more makes clear that these beginnings and ends of man—with which his poststructuralist successors have been occupied in their own ways—are tightly tied to the question of the animal.</w:t>
      </w:r>
    </w:p>
    <w:p w:rsidR="002D463E" w:rsidRPr="0060332B" w:rsidRDefault="002D463E" w:rsidP="002D463E"/>
    <w:p w:rsidR="002D463E" w:rsidRPr="0060332B" w:rsidRDefault="002D463E" w:rsidP="002D463E">
      <w:r w:rsidRPr="0060332B">
        <w:t xml:space="preserve">Indeed, much recent thought in Continental philosophy, critical theory and animal studies has interrogated the connection between posthumanism and the animal question. In </w:t>
      </w:r>
      <w:r w:rsidRPr="0060332B">
        <w:rPr>
          <w:i/>
        </w:rPr>
        <w:t>The Open</w:t>
      </w:r>
      <w:r w:rsidRPr="0060332B">
        <w:t>, Giorgio Agamben uses the concept of the “anthropological machine” to describe the interminable process—both conceptual and material, philosophical and political—by which the human is produced at the expense of the animal (2004: 37). Humanity’s idea of its own transcendence and uniqueness is articulated, from prehistoric cave art to modern science, via its fraught relationship to the nonhuman animal.</w:t>
      </w:r>
    </w:p>
    <w:p w:rsidR="002D463E" w:rsidRPr="0060332B" w:rsidRDefault="002D463E" w:rsidP="002D463E"/>
    <w:p w:rsidR="002D463E" w:rsidRPr="0060332B" w:rsidRDefault="002D463E" w:rsidP="002D463E">
      <w:r w:rsidRPr="0060332B">
        <w:t xml:space="preserve">Today, our anticipation of the ecological end of humanity has both shifted and intensified. The nuclear threat that so troubled Bataille is but one part of that historical shift identified by Michel Foucault as the transformation to an age of biopolitics that strategically wagers the very life of the human species, as indeed—though Foucault did not say this—the lives of all those nonhuman species with which we share (or do not) the planet (Foucault, 1998: 139). While the Cold War might be behind us and the nuclear threat not quite so foregrounded, we are troubled today by other global ecological hazards that are constantly enumerated in reports of habitat destruction, pollution, extinctions of animal species, and escalating climate change that threatens to undo the human political and economic order. Bataille’s sense of the timely significance of our ideas of </w:t>
      </w:r>
      <w:r w:rsidRPr="0060332B">
        <w:rPr>
          <w:i/>
        </w:rPr>
        <w:t>prehistory</w:t>
      </w:r>
      <w:r w:rsidRPr="0060332B">
        <w:t xml:space="preserve"> and of </w:t>
      </w:r>
      <w:r w:rsidRPr="0060332B">
        <w:rPr>
          <w:i/>
        </w:rPr>
        <w:t>the animal</w:t>
      </w:r>
      <w:r w:rsidRPr="0060332B">
        <w:t xml:space="preserve"> ought to be undiminished, indeed heightened, by the ecological crises of today.</w:t>
      </w:r>
    </w:p>
    <w:p w:rsidR="002D463E" w:rsidRPr="0060332B" w:rsidRDefault="002D463E" w:rsidP="002D463E"/>
    <w:p w:rsidR="002D463E" w:rsidRPr="0060332B" w:rsidRDefault="002D463E" w:rsidP="002D463E">
      <w:r w:rsidRPr="0060332B">
        <w:t>While ubiquitous and acute, these concerns seem often to be ciphered through one particular prehistoric animal: the mammoth. This extinct beast, whose demise coincides with our own ascent, is today a privileged figure in stories of environmental transgression, guilt and redemption. Through the analysis of a number of narratives of the mammoth hunt—fictional and philosophical, ethnographic and scientific—I will explore how prehistory is problematized and put to work as a primal scene for the anthropological machine and its production of man over against the animal and the natural world.</w:t>
      </w:r>
    </w:p>
    <w:p w:rsidR="002D463E" w:rsidRPr="0060332B" w:rsidRDefault="002D463E" w:rsidP="002D463E"/>
    <w:p w:rsidR="002D463E" w:rsidRPr="0060332B" w:rsidRDefault="002D463E" w:rsidP="002D463E">
      <w:r w:rsidRPr="0060332B">
        <w:t xml:space="preserve">The extinct mammoth is prominent in contemporary stories of ecological domination and restoration. For W. J. T. Mitchell, “The dinosaur [was] the totem animal of modernity...a symbolic animal that comes into existence for the first time in the modern era” and that “epitomizes a modern time sense—both the geological ‘deep time’ of paleontology and the temporal cycles of innovation and obsolescence endemic to modern capitalism” (1998: 77). I want to argue that the mammoth is the totem animal of </w:t>
      </w:r>
      <w:r w:rsidRPr="0060332B">
        <w:rPr>
          <w:i/>
        </w:rPr>
        <w:t>post</w:t>
      </w:r>
      <w:r w:rsidRPr="0060332B">
        <w:t>modernity, a symbolic animal that, like the dinosaur, appeared relatively recently in our cultural awareness and soon became exemplary of the fears and hopes of our age. Unlike the dinosaur, however, the mammoth epitomizes not deep time and the perpetual change of capitalism but, rather, the liminal transition from deep time to historical time that we find at the Pleistocene/Holocene border (“near time”), and today’s</w:t>
      </w:r>
      <w:r w:rsidRPr="0060332B" w:rsidDel="009F4AA4">
        <w:t xml:space="preserve"> </w:t>
      </w:r>
      <w:r w:rsidRPr="0060332B">
        <w:t xml:space="preserve">ecological </w:t>
      </w:r>
      <w:r w:rsidRPr="0060332B">
        <w:rPr>
          <w:i/>
        </w:rPr>
        <w:t>crisis</w:t>
      </w:r>
      <w:r w:rsidRPr="0060332B">
        <w:t xml:space="preserve"> of ever-changing capitalism pushing the earth’s natural limits.</w:t>
      </w:r>
    </w:p>
    <w:p w:rsidR="002D463E" w:rsidRPr="0060332B" w:rsidRDefault="002D463E" w:rsidP="002D463E"/>
    <w:p w:rsidR="002D463E" w:rsidRPr="0060332B" w:rsidRDefault="002D463E" w:rsidP="002D463E">
      <w:r w:rsidRPr="0060332B">
        <w:t>In terms of their cultural meaning we can distinguish, provisionally, three types of extinctions: evolutionary (such as the dinosaurs), prehistorical (such as the Pleistocene mammalian megafauna), and historical (such as the thylacine, dodo, and passenger pigeon). These differ not only in their temporal location but also in their proximal cause. While the first (the evolutionary extinctions) are seen as natural, the result perhaps of climatic changes brought on by events such as the Chicxulub asteroid that ended the Mesozoic reign of the dinosaurs, and the last (the historical extinctions) are the result of European colonialism and the capitalist practice of extracting profits as if natural resources were infinite, it is the middle group—the Pleistocene megafauna extinctions—that prove so meaningful and contested today. And we seem to have elected the mammoth to represent the sabre-tooth cat, the mastodon, the giant sloth and other, less well-known, now defunct large mammals. If for Mitchell the “terrible lizards” are both obsolete and literally dreadful in their evolutionary sublimity, the woolly mammoth, while robust, is, as a herbivore, hardly menacing; and despite its extinction, there is a powerful sense in which these frozen carcasses are not yet done with.</w:t>
      </w:r>
    </w:p>
    <w:p w:rsidR="002D463E" w:rsidRPr="0060332B" w:rsidRDefault="002D463E" w:rsidP="002D463E"/>
    <w:p w:rsidR="002D463E" w:rsidRPr="0060332B" w:rsidRDefault="002D463E" w:rsidP="002D463E">
      <w:r w:rsidRPr="0060332B">
        <w:t xml:space="preserve">The notion that the mammoth is central to our self-definition is borne out in the reading of a number of contemporary mammoth tales. Jeanne Willis’s (2008) children’s story </w:t>
      </w:r>
      <w:r w:rsidRPr="0060332B">
        <w:rPr>
          <w:i/>
        </w:rPr>
        <w:t>Mammoth Pie</w:t>
      </w:r>
      <w:r w:rsidRPr="0060332B">
        <w:t xml:space="preserve"> presents us with a prehistoric encounter between an emerging humanity and this forbidding and alluring species. The “fat mammoth” is the object of desire for the hungry “thin caveman,” Og, who “was fed up with eating seeds” and “weeds.”</w:t>
      </w:r>
    </w:p>
    <w:p w:rsidR="002D463E" w:rsidRPr="0060332B" w:rsidRDefault="002D463E" w:rsidP="002D463E">
      <w:pPr>
        <w:spacing w:line="276" w:lineRule="auto"/>
        <w:ind w:firstLine="720"/>
      </w:pPr>
    </w:p>
    <w:p w:rsidR="002D463E" w:rsidRPr="0060332B" w:rsidRDefault="002D463E" w:rsidP="0064541B">
      <w:pPr>
        <w:ind w:firstLine="720"/>
      </w:pPr>
      <w:r w:rsidRPr="0060332B">
        <w:t>“Meat is what a caveman needs!” said Og.</w:t>
      </w:r>
    </w:p>
    <w:p w:rsidR="002D463E" w:rsidRPr="0060332B" w:rsidRDefault="002D463E" w:rsidP="002D463E">
      <w:pPr>
        <w:ind w:firstLine="720"/>
      </w:pPr>
      <w:r w:rsidRPr="0060332B">
        <w:t>“I’ll catch the mammoth and put him in a pie!”</w:t>
      </w:r>
    </w:p>
    <w:p w:rsidR="002D463E" w:rsidRPr="0060332B" w:rsidRDefault="002D463E" w:rsidP="002D463E"/>
    <w:p w:rsidR="002D463E" w:rsidRPr="0060332B" w:rsidRDefault="002D463E" w:rsidP="002D463E">
      <w:r w:rsidRPr="0060332B">
        <w:t>Hardly up to the task of bringing down a mammoth alone, Og uses the promise of meat to enlist the help of fellow cavemen, the specialized labour of each contributing to the attempt, whether spear, trap, cart, pot or fire.</w:t>
      </w:r>
      <w:r w:rsidRPr="0060332B">
        <w:rPr>
          <w:rFonts w:eastAsia="Calibri"/>
          <w:lang w:eastAsia="en-US"/>
        </w:rPr>
        <w:t xml:space="preserve"> </w:t>
      </w:r>
      <w:r w:rsidRPr="0060332B">
        <w:t>Each selfishly asks what they will get in return, to which the answer is always: “’A bite of Mammoth Pie!’” And since their need for meat is axiomatic, the cavemen agree, singing together, “‘No more weeds! No more seeds! Meat is what a caveman needs!’” But when it comes time to bring down the mammoth, their tools are not enough. The mammoth is joined by his family who stomp in to comprise an intimidating herd, and instead of a successful hunt we witness a comedic debacle as the outnumbered and emasculated Og, Ug, Gog, Bog, Nog, and Mog run fearfully away, breaking their tools, deprived once more of the meat they “need,” left rather with weeds and seeds.</w:t>
      </w:r>
    </w:p>
    <w:p w:rsidR="002D463E" w:rsidRPr="0060332B" w:rsidRDefault="002D463E" w:rsidP="002D463E"/>
    <w:p w:rsidR="002D463E" w:rsidRPr="0060332B" w:rsidRDefault="002D463E" w:rsidP="002D463E">
      <w:r w:rsidRPr="0060332B">
        <w:t xml:space="preserve">This is a familiar narrative of becoming-human through the joining of forces in a social contract that binds together the prehumans and sets them against the natural world—here exemplified in the mammoth—the domination of which is necessary for their progress beyond a rather pathetic state of nature. </w:t>
      </w:r>
      <w:r w:rsidRPr="0060332B">
        <w:rPr>
          <w:i/>
        </w:rPr>
        <w:t xml:space="preserve">Mammoth Pie </w:t>
      </w:r>
      <w:r w:rsidRPr="0060332B">
        <w:t xml:space="preserve">exemplifies what Derrida (1991) calls in some of his late work “carnophallogocentrism,” that is, the production of the privileged carnivorous, male, speaking subject through the sacrifice of the animal other. This children’s story of course plays with and mocks this idea of the human, replaying as farce the once momentous primal drama of hominization. Sick of his enforced vegetarianism, Og attempts to kill the mammoth, but is defeated by the superiority of the mammoth herd. Yet it is precisely the </w:t>
      </w:r>
      <w:r w:rsidRPr="0060332B">
        <w:rPr>
          <w:i/>
        </w:rPr>
        <w:t>failed</w:t>
      </w:r>
      <w:r w:rsidRPr="0060332B">
        <w:t xml:space="preserve"> humans that are laughed at; for all the inability of these cavemen to become carnophallogocentric subjects, with the accompanying misanthropic or at least misandric humour, the reader is always implicitly aware that, in the end, the specialization and ingenuity of meat-desiring cavemen will pay off. Eventually, man will get his mammoth pie and grow fat and powerful. Unlike the pathetic cavemen, </w:t>
      </w:r>
      <w:r w:rsidRPr="0060332B">
        <w:rPr>
          <w:i/>
        </w:rPr>
        <w:t xml:space="preserve">we </w:t>
      </w:r>
      <w:r w:rsidRPr="0060332B">
        <w:t>are not foiled in our domination of nature but have rather triumphed in our search for the meat that we need.</w:t>
      </w:r>
    </w:p>
    <w:p w:rsidR="002D463E" w:rsidRPr="0060332B" w:rsidRDefault="002D463E" w:rsidP="002D463E"/>
    <w:p w:rsidR="002D463E" w:rsidRPr="0060332B" w:rsidRDefault="002D463E" w:rsidP="002D463E">
      <w:r w:rsidRPr="0060332B">
        <w:t>It is not only in western children’s books that the mammoth figures as the animal in relation to which the carnivory and dominance of humankind is articulated and questioned. In his wonderful ethnography of Siberian reindeer herders, Piers Vitebsky recounts an intriguing campfire conversation in which his hosts comment on the difficulty he is having in adapting to their eating style:</w:t>
      </w:r>
    </w:p>
    <w:p w:rsidR="002D463E" w:rsidRPr="0060332B" w:rsidRDefault="002D463E" w:rsidP="002D463E">
      <w:pPr>
        <w:spacing w:line="276" w:lineRule="auto"/>
        <w:ind w:firstLine="720"/>
      </w:pPr>
    </w:p>
    <w:p w:rsidR="002D463E" w:rsidRPr="0060332B" w:rsidRDefault="002D463E" w:rsidP="008C556A">
      <w:pPr>
        <w:tabs>
          <w:tab w:val="left" w:pos="7513"/>
        </w:tabs>
        <w:ind w:left="737" w:right="737"/>
      </w:pPr>
      <w:r w:rsidRPr="0060332B">
        <w:t>Granny directed Masha as she ladled out large pieces of meat from one pan and a mixture of intestines and other inner organs from another. The herders and I pulled out the wooden-handled sheath knives from our belts and laid them on the table for everyone to use. We took it in turns to use the knives to reach in and stab at the meat, biting on the edge of a large hunk and slicing upward to separate the piece gripped between our teeth from the rest. I have never been comfortable with this way of eating, but do it all the same.</w:t>
      </w:r>
    </w:p>
    <w:p w:rsidR="002D463E" w:rsidRPr="0060332B" w:rsidRDefault="002D463E" w:rsidP="008C556A">
      <w:pPr>
        <w:tabs>
          <w:tab w:val="left" w:pos="7513"/>
        </w:tabs>
        <w:spacing w:line="276" w:lineRule="auto"/>
        <w:ind w:left="737" w:right="737"/>
      </w:pPr>
    </w:p>
    <w:p w:rsidR="002D463E" w:rsidRPr="0060332B" w:rsidRDefault="002D463E" w:rsidP="008C556A">
      <w:pPr>
        <w:tabs>
          <w:tab w:val="left" w:pos="7513"/>
        </w:tabs>
        <w:ind w:left="737" w:right="737"/>
      </w:pPr>
      <w:r w:rsidRPr="0060332B">
        <w:t>Suddenly Tolya asked, “Did you know that archaeologists have discovered a tribe of long-nosed Europeans who used to live here?”</w:t>
      </w:r>
    </w:p>
    <w:p w:rsidR="002D463E" w:rsidRPr="0060332B" w:rsidRDefault="002D463E" w:rsidP="008C556A">
      <w:pPr>
        <w:tabs>
          <w:tab w:val="left" w:pos="7513"/>
        </w:tabs>
        <w:spacing w:line="276" w:lineRule="auto"/>
        <w:ind w:left="709"/>
      </w:pPr>
    </w:p>
    <w:p w:rsidR="002D463E" w:rsidRPr="0060332B" w:rsidRDefault="002D463E" w:rsidP="00D14F23">
      <w:pPr>
        <w:tabs>
          <w:tab w:val="left" w:pos="7513"/>
        </w:tabs>
        <w:ind w:left="709" w:right="610"/>
      </w:pPr>
      <w:r w:rsidRPr="0060332B">
        <w:t>Many natives read a lot of archaeology and anthropology, and Tolya read more than most. I must have paused gratifyingly, for he went on, “They became extinct because they kept cutting off their noses every time they tried to eat. It’s obvious from Darwin or Lamarck—you’ve got to adapt your nose or your eating habits. Only the flat-nosed Asiatic tribes survived!”</w:t>
      </w:r>
    </w:p>
    <w:p w:rsidR="002D463E" w:rsidRPr="0060332B" w:rsidRDefault="002D463E" w:rsidP="00D14F23">
      <w:pPr>
        <w:tabs>
          <w:tab w:val="left" w:pos="7513"/>
        </w:tabs>
        <w:spacing w:line="276" w:lineRule="auto"/>
        <w:ind w:left="709" w:right="610" w:firstLine="720"/>
      </w:pPr>
    </w:p>
    <w:p w:rsidR="002D463E" w:rsidRPr="0060332B" w:rsidRDefault="002D463E" w:rsidP="00D14F23">
      <w:pPr>
        <w:tabs>
          <w:tab w:val="left" w:pos="7513"/>
        </w:tabs>
        <w:spacing w:line="276" w:lineRule="auto"/>
        <w:ind w:left="737" w:right="610"/>
      </w:pPr>
      <w:r w:rsidRPr="0060332B">
        <w:t>Granny chuckled and Emmie gave a shriek.</w:t>
      </w:r>
    </w:p>
    <w:p w:rsidR="002D463E" w:rsidRPr="0060332B" w:rsidRDefault="002D463E" w:rsidP="00D14F23">
      <w:pPr>
        <w:tabs>
          <w:tab w:val="left" w:pos="7513"/>
        </w:tabs>
        <w:spacing w:line="276" w:lineRule="auto"/>
        <w:ind w:left="709" w:right="610"/>
      </w:pPr>
    </w:p>
    <w:p w:rsidR="002D463E" w:rsidRPr="0060332B" w:rsidRDefault="002D463E" w:rsidP="00D14F23">
      <w:pPr>
        <w:tabs>
          <w:tab w:val="left" w:pos="7513"/>
        </w:tabs>
        <w:ind w:left="709" w:right="610"/>
      </w:pPr>
      <w:r w:rsidRPr="0060332B">
        <w:t>“That’s no guarantee,” said Ivan soberly. “Mammoths had long noses. They didn’t cut meat because they were vegetarian. But they died out all the same.”</w:t>
      </w:r>
    </w:p>
    <w:p w:rsidR="002D463E" w:rsidRPr="0060332B" w:rsidRDefault="002D463E" w:rsidP="00D14F23">
      <w:pPr>
        <w:spacing w:line="276" w:lineRule="auto"/>
        <w:ind w:left="737" w:right="610"/>
      </w:pPr>
    </w:p>
    <w:p w:rsidR="002D463E" w:rsidRPr="0060332B" w:rsidRDefault="002D463E" w:rsidP="00D14F23">
      <w:pPr>
        <w:spacing w:line="276" w:lineRule="auto"/>
        <w:ind w:left="737" w:right="610"/>
      </w:pPr>
      <w:r w:rsidRPr="0060332B">
        <w:t>Granny chortled again. (Vitebsky, 2005: 89)</w:t>
      </w:r>
    </w:p>
    <w:p w:rsidR="002D463E" w:rsidRPr="0060332B" w:rsidRDefault="002D463E" w:rsidP="002D463E">
      <w:pPr>
        <w:ind w:firstLine="720"/>
      </w:pPr>
    </w:p>
    <w:p w:rsidR="002D463E" w:rsidRPr="0060332B" w:rsidRDefault="002D463E" w:rsidP="002D463E"/>
    <w:p w:rsidR="002D463E" w:rsidRPr="0060332B" w:rsidRDefault="002D463E" w:rsidP="002D463E">
      <w:r w:rsidRPr="0060332B">
        <w:t>I quote the initial description of their vigorous, carnivorous meal at such length because it provides the material frame for the mention of the mammoth. Tolya’s initial joke is a charming just-so story that ties the short-nosed facial features of his people to their seemingly hazardous table manners, contrasting their successful adaptation to the implicitly inferior whitefolk. But Ivan’s supplementary remark upsets the simple contrast. The mammoths, like the fictional defunct European tribe, died out in the area. But their extinction cannot be put down to a failure to amend their eating habits—at least, not in the same way; unlike the different kinds of human, the mammoth tribe does not eat meat, let alone wield knives to do so. What, then, led to their demise? Ivan’s implicit answer suffuses the entire exchange, and its alimentary context, with its disquieting sobriety: it was, of course, the carnivorous “eating habits” of the humans.</w:t>
      </w:r>
    </w:p>
    <w:p w:rsidR="002D463E" w:rsidRPr="0060332B" w:rsidRDefault="002D463E" w:rsidP="002D463E"/>
    <w:p w:rsidR="002D463E" w:rsidRPr="0060332B" w:rsidRDefault="002D463E" w:rsidP="002D463E">
      <w:r w:rsidRPr="0060332B">
        <w:t xml:space="preserve">The “cradle of humanity” has long been a favored ideological playground, and not only for bedtime or campfire storytellers. The dramatist Robert Ardrey, influential author of </w:t>
      </w:r>
      <w:r w:rsidRPr="0060332B">
        <w:rPr>
          <w:i/>
        </w:rPr>
        <w:t>African Genesis</w:t>
      </w:r>
      <w:r w:rsidRPr="0060332B">
        <w:t xml:space="preserve">, </w:t>
      </w:r>
      <w:r w:rsidRPr="0060332B">
        <w:rPr>
          <w:i/>
        </w:rPr>
        <w:t>The Territorial Imperative</w:t>
      </w:r>
      <w:r w:rsidRPr="0060332B">
        <w:t xml:space="preserve">, and </w:t>
      </w:r>
      <w:r w:rsidRPr="0060332B">
        <w:rPr>
          <w:i/>
        </w:rPr>
        <w:t>The Social Contract</w:t>
      </w:r>
      <w:r w:rsidRPr="0060332B">
        <w:t xml:space="preserve">, narrated the violent origins of man in his concluding “personal inquiry” into human evolution, </w:t>
      </w:r>
      <w:r w:rsidRPr="0060332B">
        <w:rPr>
          <w:i/>
        </w:rPr>
        <w:t>The Hunting Hypothesis</w:t>
      </w:r>
      <w:r w:rsidRPr="0060332B">
        <w:t xml:space="preserve">. Criticising the romantic fallacy of humanity’s originary innocence, he argued that </w:t>
      </w:r>
      <w:r w:rsidRPr="0060332B">
        <w:rPr>
          <w:i/>
        </w:rPr>
        <w:t>Homo sapiens</w:t>
      </w:r>
      <w:r w:rsidRPr="0060332B">
        <w:t xml:space="preserve"> are essentially predators, descended from killer apes. Central to his portrayal of prehistory was the “overkill hypothesis” of Pleistocene megafauna extinction. Ardrey narrates how, at the end of the ice age, newly sophisticated human hunters entered North America via the Bering land bridge and “within a thousand years after our arrival…exterminated the mammoth” (1976: 10). Lacking the long familiarity with this marauding primate that enabled other proboscideans to survive:</w:t>
      </w:r>
    </w:p>
    <w:p w:rsidR="002D463E" w:rsidRPr="0060332B" w:rsidRDefault="002D463E" w:rsidP="002D463E"/>
    <w:p w:rsidR="002D463E" w:rsidRPr="0060332B" w:rsidRDefault="002D463E" w:rsidP="002D463E">
      <w:pPr>
        <w:ind w:left="737" w:right="737"/>
      </w:pPr>
      <w:r w:rsidRPr="0060332B">
        <w:t>The mighty mammoth of North America died of innocence. It and the mastodon supported on their monumental legs about 25 percent of the continent’s meat. As they must surely have been as intelligent as their African cousin, they must surely have been as formidable. But what good is might when you have never encountered the most dangerous of animals, the human being? (1976: 10)</w:t>
      </w:r>
    </w:p>
    <w:p w:rsidR="002D463E" w:rsidRPr="0060332B" w:rsidRDefault="002D463E" w:rsidP="002D463E"/>
    <w:p w:rsidR="002D463E" w:rsidRPr="0060332B" w:rsidRDefault="002D463E" w:rsidP="002D463E">
      <w:r w:rsidRPr="0060332B">
        <w:t>This new predator’s extraordinary combination of sophistication and ferocity condemned the megafauna to dwindle and vanish, the unfortunate casualty of the emergence of man the hunter.</w:t>
      </w:r>
    </w:p>
    <w:p w:rsidR="002D463E" w:rsidRPr="0060332B" w:rsidRDefault="002D463E" w:rsidP="002D463E"/>
    <w:p w:rsidR="002D463E" w:rsidRPr="0060332B" w:rsidRDefault="002D463E" w:rsidP="002D463E">
      <w:r w:rsidRPr="0060332B">
        <w:t>Of course, Ardrey is only one among many anthropologists and palaeontologists, professional and amateur, to have made their own erudite contributions to the chronicles of carnivorous cavemen. Wiktor Stoczkowski has described how the hominization scenarios of nineteenth- and twentieth-century scientific paleo-anthropology or what he calls “conjectural history,” from Lamarck, Darwin and Engels, through Washburn, Ardrey and Leroi-Gourhan, to the late 1970s and beyond, betray a constant tendency to make use (without empirical backing) of folk or naïve anthropology as articulated through more than two millennia of Western philosophical and commonsensical thought. Stoczkowski provides a detailed analysis of the types of causal relationships imagined and repeated throughout this tradition, the recipes for hominization comprised of familiar ingredients such as ecological change, bipedalism, hunting, fire, tool-use, art and language. He argues that these narratives are only superficially related to empirical developments; rather, they draw strongly on the conceptual matrix of Western anthropology (construed broadly), and are given particular ideological inflections based on the historical context and desires of their authors. Thus he delineates how, according to the Soviets, it was labour and collectivization that transformed ape into man; while according to Americans in the midst of the Cold War, early man was a violent hunter whose predatory instincts, when combined with nuclear technology, put modern society at risk; whereas according to the archaeological “herstories” of countercultural feminists of the 1970s, it was cooperation and food-sharing, led by the first women, that were the agents of hominization (Stoczkowski, 2002: 182-4).</w:t>
      </w:r>
    </w:p>
    <w:p w:rsidR="002D463E" w:rsidRPr="0060332B" w:rsidRDefault="002D463E" w:rsidP="002D463E"/>
    <w:p w:rsidR="002D463E" w:rsidRPr="0060332B" w:rsidRDefault="002D463E" w:rsidP="002D463E">
      <w:r w:rsidRPr="0060332B">
        <w:t>Mart Cartmill gives more detail to the post-war American obsession with man the hunter embodied so vividly in Ardrey’s dramas. In such stories of anthropogenesis, hunting is the central means of the becoming-man of man. Cartmill argues that:</w:t>
      </w:r>
    </w:p>
    <w:p w:rsidR="002D463E" w:rsidRPr="0060332B" w:rsidRDefault="002D463E" w:rsidP="002D463E">
      <w:pPr>
        <w:spacing w:line="276" w:lineRule="auto"/>
      </w:pPr>
    </w:p>
    <w:p w:rsidR="002D463E" w:rsidRPr="0060332B" w:rsidRDefault="002D463E" w:rsidP="00A30E4F">
      <w:pPr>
        <w:ind w:left="737" w:right="737"/>
      </w:pPr>
      <w:r w:rsidRPr="0060332B">
        <w:t xml:space="preserve">During the 1960s, the central propositions of the hunting hypothesis—that hunting and its selection pressures had made men and women out of our apelike ancestors, instilled a taste for violence in them, estranged them from the animal kingdom, and excluded them from the order of nature—became familiar themes of the national culture, and the picture of </w:t>
      </w:r>
      <w:r w:rsidRPr="0060332B">
        <w:rPr>
          <w:i/>
        </w:rPr>
        <w:t>Homo sapiens</w:t>
      </w:r>
      <w:r w:rsidRPr="0060332B">
        <w:t xml:space="preserve"> as a mentally unbalanced predator threatening an otherwise harmonious natural realm became so pervasive that it ceased to provoke comment. These themes were disseminated not only through popular-science books but also through novels, cartoons, films, and television. (1996: 14)</w:t>
      </w:r>
    </w:p>
    <w:p w:rsidR="002D463E" w:rsidRPr="0060332B" w:rsidRDefault="002D463E" w:rsidP="002D463E"/>
    <w:p w:rsidR="002D463E" w:rsidRPr="0060332B" w:rsidRDefault="002D463E" w:rsidP="002D463E">
      <w:r w:rsidRPr="0060332B">
        <w:t xml:space="preserve">And as he goes on to argue, this picture was so widely accepted for reasons that had more to do with mythological self-understanding than scientific evidence. The hunting hypothesis is a rationalized version of the Christian Fall narrative, with original sin consisting in man’s anti-natural predation, and the possibility of redemption thus lying in a more harmonious relationship to nature. Cartmill concludes by arguing that the hunting hypothesis is </w:t>
      </w:r>
    </w:p>
    <w:p w:rsidR="002D463E" w:rsidRPr="0060332B" w:rsidRDefault="002D463E" w:rsidP="002D463E">
      <w:pPr>
        <w:ind w:left="737" w:right="737"/>
      </w:pPr>
    </w:p>
    <w:p w:rsidR="002D463E" w:rsidRPr="0060332B" w:rsidRDefault="002D463E" w:rsidP="002D463E">
      <w:pPr>
        <w:ind w:left="737" w:right="737"/>
      </w:pPr>
      <w:r w:rsidRPr="0060332B">
        <w:t xml:space="preserve">a fable. Its abrupt acceptance by science in the years after World War II had more to do with new conceptions of the animal-human boundary than it did with the facts about </w:t>
      </w:r>
      <w:r w:rsidRPr="0060332B">
        <w:rPr>
          <w:i/>
        </w:rPr>
        <w:t>Australopithecus africanus</w:t>
      </w:r>
      <w:r w:rsidRPr="0060332B">
        <w:t>. We should recognize it as an origin myth, dreamt up to justify the dubious distinction we draw between the human domain and the wild kingdom of nature. (1996: 226)</w:t>
      </w:r>
    </w:p>
    <w:p w:rsidR="002D463E" w:rsidRPr="0060332B" w:rsidRDefault="002D463E" w:rsidP="002D463E"/>
    <w:p w:rsidR="002D463E" w:rsidRPr="0060332B" w:rsidRDefault="002D463E" w:rsidP="002D463E">
      <w:r w:rsidRPr="0060332B">
        <w:t>While Cartmill does not explicitly discuss the trope of the mammoth hunt, the mammoth has always been central to our scientific reconstruction of prehistoric human origins. As A. Bowdoin Van Riper (1993) describes, the discovery of mammoth fossils led to a shakeup of accepted beliefs about the origins of man and the static and unbreakable scale of nature, transforming Victorian science and opening up the very possibility of the pre-historical. It is the contemporaneity of man and mammoth which lies at the heart of our picture of lengthy human evolution that replaced religious ideas of human recency. Thus ideas of human origins and of extinction have, from the beginning, been explored through the vehicle of the mammoth. Yet if evolution undermined a certain notion of transcendence, embedding our species within the natural history of the earth, human uniqueness was soon reaffirmed as our capacity to unbalance the nature from which we emerged. The extinction of the mammoth is a signal that humanity was not simply a product of evolution, but had itself become an evolutionary force.</w:t>
      </w:r>
    </w:p>
    <w:p w:rsidR="002D463E" w:rsidRPr="0060332B" w:rsidRDefault="002D463E" w:rsidP="002D463E"/>
    <w:p w:rsidR="002D463E" w:rsidRPr="0060332B" w:rsidRDefault="002D463E" w:rsidP="002D463E">
      <w:r w:rsidRPr="0060332B">
        <w:t xml:space="preserve">Central to many narratives of the human-mammoth encounter is the overkill hypothesis of Pleistocene megafauna extinction, which maintains that not climate change but unrestrained human hunting was responsible for the demise of mammoths and other species at the end of the ice age. Advanced by Paul Martin (1967; 2005) and others since the 1960s, yet often contested on empirical and political grounds, this influential theory has offered its own distinctive fable of origins, contributing to the image of man the hunter, as advocated by the likes of Ardrey, and to successor scientific stories told today (Flannery, 2001). Too often this image of humanity as a species universally destructive of the environment obscures the historical intensification of such damage in modern colonialism and capitalism. Yet just such intensification seems only to strengthen this underlying theory of human nature. When articulated within contemporary ecological consciousness, the overkill hypothesis stages not only the violence of an exceptional primate, but also its widespread destruction, the enormous scale of the extinction that resulted from the spread of </w:t>
      </w:r>
      <w:r w:rsidRPr="0060332B">
        <w:rPr>
          <w:i/>
        </w:rPr>
        <w:t xml:space="preserve">Homo sapiens </w:t>
      </w:r>
      <w:r w:rsidRPr="0060332B">
        <w:t>around the world. It is this perception of human culpability for the mammoth’s extinction that provokes the desire to simulate or even resurrect them today, in projects such as the rewilding of Pleistocene Parks and the venture to clone the mammoth (Chrulew, 2011).</w:t>
      </w:r>
    </w:p>
    <w:p w:rsidR="002D463E" w:rsidRPr="0060332B" w:rsidRDefault="002D463E" w:rsidP="002D463E"/>
    <w:p w:rsidR="002D463E" w:rsidRPr="0060332B" w:rsidRDefault="002D463E" w:rsidP="002D463E">
      <w:r w:rsidRPr="0060332B">
        <w:t xml:space="preserve">Such seemingly science fictional projects are often described or critiqued by reference to that familiar fable of human hubris and nature’s revenge, </w:t>
      </w:r>
      <w:r w:rsidRPr="0060332B">
        <w:rPr>
          <w:i/>
        </w:rPr>
        <w:t>Jurassic Park</w:t>
      </w:r>
      <w:r w:rsidRPr="0060332B">
        <w:t xml:space="preserve">. Yet such comparisons overlook what is specific and unique to stories of prehistoric mammoths, which are located one twist further along the dialectic of humanity-in-nature than modern tales of the vengeance of terrible lizards against meddling scientists. While the “natural” extinction of Jurassic dinosaurs made possible the survival and evolution of Mammalia, the “man-made” extinction of Pleistocene mammoths did not unfurl but impoverished planetary life. Recreating this ice age giant and its habitat is not simply a perpetuation of our technological imperialism but rather an attempt to atone for it, a way of seeking redemption for our ecological sins, if once again through </w:t>
      </w:r>
      <w:r w:rsidRPr="0060332B">
        <w:rPr>
          <w:i/>
        </w:rPr>
        <w:t>techne</w:t>
      </w:r>
      <w:r w:rsidRPr="0060332B">
        <w:t>,</w:t>
      </w:r>
      <w:r w:rsidRPr="0060332B">
        <w:rPr>
          <w:i/>
        </w:rPr>
        <w:t xml:space="preserve"> </w:t>
      </w:r>
      <w:r w:rsidRPr="0060332B">
        <w:t>the only way we know how. Postmodern mammoth tales recognize that we are already living through the vengeance of nature</w:t>
      </w:r>
      <w:r w:rsidRPr="0060332B">
        <w:rPr>
          <w:i/>
        </w:rPr>
        <w:t xml:space="preserve"> </w:t>
      </w:r>
      <w:r w:rsidRPr="0060332B">
        <w:t>against human intervention; given that we can hardly keep ourselves from impacting on the natural world, the question instead becomes how best to intervene, and whether we might in fact act in ways that remediate previous, harmful ecological effects. Such is the burden of humanity in the Anthropocene.</w:t>
      </w:r>
    </w:p>
    <w:p w:rsidR="002D463E" w:rsidRPr="0060332B" w:rsidRDefault="002D463E" w:rsidP="002D463E"/>
    <w:p w:rsidR="002D463E" w:rsidRPr="0060332B" w:rsidRDefault="002D463E" w:rsidP="002D463E">
      <w:r w:rsidRPr="0060332B">
        <w:t xml:space="preserve">For many, however, the further application of rationality and technology can only perpetuate human domination. For some thinkers of prehistory, man the hunter is not the original model of contemporary, destructive </w:t>
      </w:r>
      <w:r w:rsidRPr="0060332B">
        <w:rPr>
          <w:i/>
        </w:rPr>
        <w:t>Homo faber</w:t>
      </w:r>
      <w:r w:rsidRPr="0060332B">
        <w:t>, but rather stands opposed to our utilitarian universe in his primordial immersion in animal urges. The mammoth hunt is here not an original sin but the vital assertion of a lost aspect of humanity.</w:t>
      </w:r>
    </w:p>
    <w:p w:rsidR="002D463E" w:rsidRPr="0060332B" w:rsidRDefault="002D463E" w:rsidP="002D463E"/>
    <w:p w:rsidR="002D463E" w:rsidRPr="0060332B" w:rsidRDefault="002D463E" w:rsidP="002D463E">
      <w:r w:rsidRPr="0060332B">
        <w:t xml:space="preserve">Jean M. Auel’s popular Earth’s Children series of alternate history novels follow Ayla, an orphaned Cro-Magnon raised by Neanderthals, and her partner Jondalar. This mix of romance and speculative fiction relies on detailed research on prehistoric lifeways. The third book in the series, </w:t>
      </w:r>
      <w:r w:rsidRPr="0060332B">
        <w:rPr>
          <w:i/>
        </w:rPr>
        <w:t>The Mammoth Hunters</w:t>
      </w:r>
      <w:r w:rsidRPr="0060332B">
        <w:t>, follows Ayla’s encounter with the Mamutoi, a tribe of mammoth hunters based on the Aurignacian culture. Ayla spends much of the novel caught between Jondalar and another man, confused about her purpose in life. The climax of the novel is a mammoth hunt described by Auel in animated terms that meditate on the nature of these proto-human creatures, cooperative and violent, yet worshipful and respectful of nature:</w:t>
      </w:r>
    </w:p>
    <w:p w:rsidR="002D463E" w:rsidRPr="0060332B" w:rsidRDefault="002D463E" w:rsidP="002D463E">
      <w:pPr>
        <w:spacing w:line="276" w:lineRule="auto"/>
        <w:ind w:firstLine="720"/>
      </w:pPr>
    </w:p>
    <w:p w:rsidR="002D463E" w:rsidRPr="0060332B" w:rsidRDefault="002D463E" w:rsidP="002D463E">
      <w:pPr>
        <w:ind w:left="737" w:right="737"/>
      </w:pPr>
      <w:r w:rsidRPr="0060332B">
        <w:t>[Ayla] had always wanted to hunt mammoth, and a chill of anticipation shot through her when she realised that she was actually about to participate in the first mammoth hunt of her life. Though there was something utterly ridiculous about it, when she stopped to consider it. How could creatures as small and weak as humans challenge the huge, shaggy, tusked beast, and hope to succeed? Yet here she was, ready to take on the largest animal that walked the land, with nothing more than a few mammoth spears. No, that wasn’t entirely true. She also had the intelligence, experience, and cooperation of the other hunters. And Jondalar’s spear-thrower. (Auel, 1980: 728-9)</w:t>
      </w:r>
    </w:p>
    <w:p w:rsidR="002D463E" w:rsidRPr="0060332B" w:rsidRDefault="002D463E" w:rsidP="002D463E">
      <w:pPr>
        <w:ind w:firstLine="720"/>
      </w:pPr>
    </w:p>
    <w:p w:rsidR="002D463E" w:rsidRPr="0060332B" w:rsidRDefault="002D463E" w:rsidP="002D463E">
      <w:r w:rsidRPr="0060332B">
        <w:t>As in other myths of human origins, cooperation and tool-use are the key to this weak species besting its obvious superior. The sacrifice of the powerful animal plays a central narrative, social and mythic role: in addition to providing food it also helps resolve the existential and sexual crises of the characters. The fear of the mammoths, and killing them, provides Ayla a thrill, and the bloodlust of the massacre, an event both violent and sensual, ultimately results in bringing her and her love interest Jondalar back together.</w:t>
      </w:r>
    </w:p>
    <w:p w:rsidR="002D463E" w:rsidRPr="0060332B" w:rsidRDefault="002D463E" w:rsidP="002D463E"/>
    <w:p w:rsidR="002D463E" w:rsidRPr="0060332B" w:rsidRDefault="002D463E" w:rsidP="002D463E">
      <w:r w:rsidRPr="0060332B">
        <w:t xml:space="preserve">They chase the mammoths with firesticks, spears and other phallic objects, setting them to stampede towards a trap, an enclosed canyon where they could kill them with impunity. Inside, “blaring screams of mammoths echoed off hard, icy walls, grating on the ears, and racking on the nerves. Ayla was filled with almost unbearable tension, part fear, part excitement” (Auel, 1980: 731). The kill scene depicts spears down throats and in bellies and an excess of red blood on white ice. Ayla takes on a bull by herself, and wounded, it charges and almost kills her. When Jondalar finally comes to her rescue, he is shaken at the thought of losing her: </w:t>
      </w:r>
    </w:p>
    <w:p w:rsidR="002D463E" w:rsidRPr="0060332B" w:rsidRDefault="002D463E" w:rsidP="002D463E"/>
    <w:p w:rsidR="002D463E" w:rsidRPr="0060332B" w:rsidRDefault="002D463E" w:rsidP="002D463E">
      <w:pPr>
        <w:ind w:left="737" w:right="737"/>
      </w:pPr>
      <w:r w:rsidRPr="0060332B">
        <w:t xml:space="preserve">his heart...pounding with fear for her. He’d almost lost her! That mammoth nearly killed her! Her hood was thrown back and her hair was in disarray. Her eyes were sparkling with excitement. Her face was flushed and she was breathing hard. She was beautiful in her excitement, and the effect was immediate and overwhelming (Auel, 1980: 733) </w:t>
      </w:r>
    </w:p>
    <w:p w:rsidR="002D463E" w:rsidRPr="0060332B" w:rsidRDefault="002D463E" w:rsidP="002D463E"/>
    <w:p w:rsidR="002D463E" w:rsidRPr="0060332B" w:rsidRDefault="002D463E" w:rsidP="002D463E">
      <w:r w:rsidRPr="0060332B">
        <w:t xml:space="preserve">He soon finds “the blood rush to his loins” at the hunt’s consummation: “He could have taken her that instant, right there on the cold, bloody floor of the ice canyon” (Auel, 1980: 734). Not only does the event of the mammoth hunt drive them together; it is in particular the sensual excitement of the closeness to death—killing and almost being killed by this honourable creature—that drives his desire. </w:t>
      </w:r>
    </w:p>
    <w:p w:rsidR="002D463E" w:rsidRPr="0060332B" w:rsidRDefault="002D463E" w:rsidP="002D463E"/>
    <w:p w:rsidR="002D463E" w:rsidRPr="0060332B" w:rsidRDefault="002D463E" w:rsidP="002D463E">
      <w:r w:rsidRPr="0060332B">
        <w:t>The bloodlust of this primal scene, as well as its overall</w:t>
      </w:r>
      <w:r w:rsidRPr="0047459D">
        <w:t xml:space="preserve"> romanticization</w:t>
      </w:r>
      <w:r w:rsidRPr="0060332B">
        <w:t xml:space="preserve"> of the butchery, is in some ways reminiscent of Bataille’s primitivism. Bataille, in his opposition to the utilitarian horrors of industrialized modernity, offers a vision of prehistoric peoples (and, for that matter, of present-day Siberian “primitives”) who do not separate their godlike selves from animals, as we moderns do, but rather efface the human image amid powerful figures of animals akin to divinity. Commenting on the cave art at Lascaux, he writes:</w:t>
      </w:r>
    </w:p>
    <w:p w:rsidR="002D463E" w:rsidRPr="0060332B" w:rsidRDefault="002D463E" w:rsidP="002D463E">
      <w:pPr>
        <w:spacing w:line="276" w:lineRule="auto"/>
        <w:ind w:firstLine="720"/>
      </w:pPr>
    </w:p>
    <w:p w:rsidR="002D463E" w:rsidRPr="0060332B" w:rsidRDefault="002D463E" w:rsidP="002D463E">
      <w:pPr>
        <w:ind w:left="737" w:right="737"/>
      </w:pPr>
      <w:r w:rsidRPr="0060332B">
        <w:t>The reality that these paintings describe singularly exceeds the material search for food through the technical medium of magic. Prehistoric hunting has little to do with the rather innocuous modern pastime. It was the activity not of an individual or of a small number of individuals but of an entire population that sometimes confronted monsters. For the hunters using flimsy weapons, the pursuit of a mammoth undoubtedly had something prodigious in it, which had to have unleashed the passion, the frenzy of an entire group of men. (Bataille, 2005: 166)</w:t>
      </w:r>
    </w:p>
    <w:p w:rsidR="002D463E" w:rsidRPr="0060332B" w:rsidRDefault="002D463E" w:rsidP="002D463E">
      <w:pPr>
        <w:ind w:firstLine="720"/>
      </w:pPr>
    </w:p>
    <w:p w:rsidR="002D463E" w:rsidRPr="0060332B" w:rsidRDefault="002D463E" w:rsidP="002D463E">
      <w:r w:rsidRPr="0060332B">
        <w:t>Bataille’s is a profound philosophical encounter with prehistoric art, a refined staging of the emergence of “man” through the representation of sacred animal images and the transgression of prohibitions tied to death, sexuality, and the overcoming of animality. The event of anthropogenesis is here not successful or resolved, but an act of erasure that effaces man as soon as he appears. The animal world, rather than the opaque sphere from which modern humans celebrate or mourn their difference, is here an open domain deserving of primeval solidarity.</w:t>
      </w:r>
    </w:p>
    <w:p w:rsidR="002D463E" w:rsidRPr="0060332B" w:rsidRDefault="002D463E" w:rsidP="002D463E"/>
    <w:p w:rsidR="002D463E" w:rsidRPr="0060332B" w:rsidRDefault="002D463E" w:rsidP="002D463E">
      <w:r w:rsidRPr="0060332B">
        <w:t xml:space="preserve">For all their differences of genre and finesse, the primitivist fantasies of both Auel and Bataille portray mammoth bloodletting as an anti-modern communal ritual, a moment of sensual natural immersion that has been lost to civilization. Unlike many iterations of the hunting hypothesis, which posit a fundamental continuity between </w:t>
      </w:r>
      <w:r w:rsidRPr="0060332B">
        <w:rPr>
          <w:i/>
        </w:rPr>
        <w:t xml:space="preserve">Homo sapiens </w:t>
      </w:r>
      <w:r w:rsidRPr="0060332B">
        <w:t>as prehistoric predator and as capitalist consumer, between the extinctions of the mammoth and mastodon and those of the dodo and passenger pigeon, these prehistoric tales oppose our early vital continuity with the animal world to modern domination and transcendence and its attendant ecological crises, thereby linking the thought of prehistory and the prehuman with the end of history and its posthuman avatars.</w:t>
      </w:r>
    </w:p>
    <w:p w:rsidR="002D463E" w:rsidRPr="0060332B" w:rsidRDefault="002D463E" w:rsidP="002D463E"/>
    <w:p w:rsidR="002D463E" w:rsidRPr="0060332B" w:rsidRDefault="002D463E" w:rsidP="002D463E">
      <w:r w:rsidRPr="0060332B">
        <w:t xml:space="preserve">For Ardrey, too, our prehistoric becoming is tied to the spectre of apocalypse. He paints the totality of agricultural civilizations as but the brief evolutionary interlude of “interglacial man,” imagining a near future of overpopulation and climate change triggering starvation and wholesale social collapse. And yet, as always, this dystopia contains within it a utopian kernel: “What I suspect is that the survivors of this glacial calamity that will befall us, decimate us, and through most appalling natural selection discard...[us]—will pool their collective genes into one more subspecies of </w:t>
      </w:r>
      <w:r w:rsidRPr="0060332B">
        <w:rPr>
          <w:i/>
        </w:rPr>
        <w:t>Homo sapiens</w:t>
      </w:r>
      <w:r w:rsidRPr="0060332B">
        <w:t xml:space="preserve"> in a few tens of millennia, and take one more step away from the ape in the direction of the human being” (Ardrey, 1976: 219). Avoiding nostalgia and melancholy, Ardrey mourns the loss of the hunting life: </w:t>
      </w:r>
    </w:p>
    <w:p w:rsidR="002D463E" w:rsidRPr="0060332B" w:rsidRDefault="002D463E" w:rsidP="002D463E">
      <w:pPr>
        <w:spacing w:line="276" w:lineRule="auto"/>
      </w:pPr>
    </w:p>
    <w:p w:rsidR="002D463E" w:rsidRPr="0060332B" w:rsidRDefault="002D463E" w:rsidP="002D463E">
      <w:pPr>
        <w:ind w:left="737" w:right="737"/>
      </w:pPr>
      <w:r w:rsidRPr="0060332B">
        <w:t>As an interglacial man, I feel no embarrassment, except for one thing—that we ended the hunting way. It had shaped us, given us—anatomically and socially—the way we are. But we killed off our fellow species in the natural world. The death of the hunter and the hunted must be the sin that interglacial man committed in the memories of his inheritors. How do you live when the tundra returns but not</w:t>
      </w:r>
      <w:r w:rsidR="001813D2">
        <w:t xml:space="preserve"> the reindeer, the aurochs, the </w:t>
      </w:r>
      <w:r w:rsidRPr="0060332B">
        <w:t>extinct mammoth? (1976: 219)</w:t>
      </w:r>
    </w:p>
    <w:p w:rsidR="002D463E" w:rsidRPr="0060332B" w:rsidRDefault="002D463E" w:rsidP="002D463E">
      <w:pPr>
        <w:ind w:firstLine="720"/>
      </w:pPr>
    </w:p>
    <w:p w:rsidR="002D463E" w:rsidRPr="0060332B" w:rsidRDefault="002D463E" w:rsidP="002D463E">
      <w:r w:rsidRPr="0060332B">
        <w:t>In this science fictional scenario, when the ice encroaches once more and yet nature remains forever impoverished by our grasping hand, what remains for the mammoth and its extinct brethren is to inhabit our artworks, our science, our stories, as spectres, figures, fables—as the mortal creatures that they were. Ardrey writes, “I suspect that our Ice Age inheritors, whatever their literate capacities, will turn back to the villains and heroes of interglacial man for the lessons of what to do, and what not. It could be our greatest legacy” (1976: 219). There are certainly stories enough to fill this new ice age bestiary. Beyond those recounted here, our film and literature, philosophy and science, are filled with mammoths enduring, over and again, our predation and our projection (Chrulew, forthcoming). Mick Smith (2001) reminds us that ecological moralising about extinction events can compound the effacement of the vanished animal itself. Indeed it is vital, in questioning and telling these stories, to do what we can to engage ethically with the parted, as other, precisely by moving on from the past. Yet within these mammoth stories, from the didactic to the transgressive, subsists precisely this desire to have the dead speak to us and to carry forth their wisdom, if not their life. As a legacy to our postapocalyptic successors, there is plenty in the archives of the mammoth that is worthy of the most refined posthuman moral reflection.</w:t>
      </w:r>
    </w:p>
    <w:p w:rsidR="002D463E" w:rsidRPr="0060332B" w:rsidRDefault="002D463E" w:rsidP="002D463E"/>
    <w:p w:rsidR="002D463E" w:rsidRDefault="002D463E" w:rsidP="00E35253">
      <w:pPr>
        <w:pStyle w:val="Heading3"/>
        <w:rPr>
          <w:lang w:val="en-US"/>
        </w:rPr>
      </w:pPr>
      <w:r w:rsidRPr="0060332B">
        <w:rPr>
          <w:lang w:val="en-US"/>
        </w:rPr>
        <w:t>References</w:t>
      </w:r>
    </w:p>
    <w:p w:rsidR="008C556A" w:rsidRPr="0060332B" w:rsidRDefault="008C556A" w:rsidP="002D463E">
      <w:pPr>
        <w:rPr>
          <w:b/>
          <w:lang w:val="en-US"/>
        </w:rPr>
      </w:pPr>
    </w:p>
    <w:p w:rsidR="002D463E" w:rsidRPr="0060332B" w:rsidRDefault="002D463E" w:rsidP="009C250F">
      <w:pPr>
        <w:pStyle w:val="References"/>
      </w:pPr>
      <w:r w:rsidRPr="0060332B">
        <w:t xml:space="preserve">Agamben, G. (2004), </w:t>
      </w:r>
      <w:r w:rsidRPr="0060332B">
        <w:rPr>
          <w:i/>
        </w:rPr>
        <w:t>The Open: Man and Animal</w:t>
      </w:r>
      <w:r w:rsidRPr="0060332B">
        <w:t>,</w:t>
      </w:r>
      <w:r w:rsidRPr="0060332B">
        <w:rPr>
          <w:lang w:val="en-US"/>
        </w:rPr>
        <w:t xml:space="preserve"> translated by Attel</w:t>
      </w:r>
      <w:r w:rsidRPr="0047459D">
        <w:t>, K.</w:t>
      </w:r>
      <w:r w:rsidRPr="0060332B">
        <w:t>, Stanford University Press: Stanford.</w:t>
      </w:r>
    </w:p>
    <w:p w:rsidR="009C250F" w:rsidRDefault="009C250F" w:rsidP="009C250F">
      <w:pPr>
        <w:pStyle w:val="References"/>
      </w:pPr>
    </w:p>
    <w:p w:rsidR="002D463E" w:rsidRPr="0060332B" w:rsidRDefault="002D463E" w:rsidP="009C250F">
      <w:pPr>
        <w:pStyle w:val="References"/>
      </w:pPr>
      <w:r w:rsidRPr="0060332B">
        <w:t xml:space="preserve">Ardrey, R. (1976), </w:t>
      </w:r>
      <w:r w:rsidRPr="0060332B">
        <w:rPr>
          <w:i/>
        </w:rPr>
        <w:t>The Hunting Hypothesis: A Personal Conclusion Concerning the Evolutionary Nature of Man</w:t>
      </w:r>
      <w:r w:rsidRPr="0060332B">
        <w:t>, Atheneum: New York.</w:t>
      </w:r>
    </w:p>
    <w:p w:rsidR="009C250F" w:rsidRDefault="009C250F" w:rsidP="009C250F">
      <w:pPr>
        <w:pStyle w:val="References"/>
      </w:pPr>
    </w:p>
    <w:p w:rsidR="002D463E" w:rsidRPr="0060332B" w:rsidRDefault="002D463E" w:rsidP="009C250F">
      <w:pPr>
        <w:pStyle w:val="References"/>
      </w:pPr>
      <w:r w:rsidRPr="0060332B">
        <w:t xml:space="preserve">Auel, J. M. (1980), </w:t>
      </w:r>
      <w:r w:rsidRPr="0060332B">
        <w:rPr>
          <w:i/>
        </w:rPr>
        <w:t>The Mammoth Hunters</w:t>
      </w:r>
      <w:r w:rsidRPr="0060332B">
        <w:t>, Coronet Books: Sevenoaks.</w:t>
      </w:r>
    </w:p>
    <w:p w:rsidR="009C250F" w:rsidRDefault="009C250F" w:rsidP="009C250F">
      <w:pPr>
        <w:pStyle w:val="References"/>
      </w:pPr>
    </w:p>
    <w:p w:rsidR="002D463E" w:rsidRPr="0060332B" w:rsidRDefault="002D463E" w:rsidP="009C250F">
      <w:pPr>
        <w:pStyle w:val="References"/>
      </w:pPr>
      <w:r w:rsidRPr="0060332B">
        <w:t xml:space="preserve">Bataille, G. (2005), </w:t>
      </w:r>
      <w:r w:rsidRPr="0060332B">
        <w:rPr>
          <w:i/>
        </w:rPr>
        <w:t>The Cradle of Humanity: Prehistoric Art and Culture</w:t>
      </w:r>
      <w:r w:rsidRPr="0060332B">
        <w:t>,</w:t>
      </w:r>
      <w:r w:rsidRPr="0060332B">
        <w:rPr>
          <w:i/>
        </w:rPr>
        <w:t xml:space="preserve"> </w:t>
      </w:r>
      <w:r w:rsidRPr="0060332B">
        <w:t>Kendall, S. (Ed.), translated by Kendall, M. and Kendall, S., Zone Books: New York.</w:t>
      </w:r>
    </w:p>
    <w:p w:rsidR="009C250F" w:rsidRDefault="009C250F" w:rsidP="009C250F">
      <w:pPr>
        <w:pStyle w:val="References"/>
      </w:pPr>
    </w:p>
    <w:p w:rsidR="002D463E" w:rsidRPr="0060332B" w:rsidRDefault="002D463E" w:rsidP="009C250F">
      <w:pPr>
        <w:pStyle w:val="References"/>
      </w:pPr>
      <w:r w:rsidRPr="0060332B">
        <w:t xml:space="preserve">Cartmill, M. (1996), </w:t>
      </w:r>
      <w:r w:rsidRPr="0060332B">
        <w:rPr>
          <w:i/>
        </w:rPr>
        <w:t>A View to a Death in the Morning: Hunting and Nature through History</w:t>
      </w:r>
      <w:r w:rsidRPr="0060332B">
        <w:t>, Harvard University Press: Cambridge, London.</w:t>
      </w:r>
    </w:p>
    <w:p w:rsidR="009C250F" w:rsidRDefault="009C250F" w:rsidP="009C250F">
      <w:pPr>
        <w:pStyle w:val="References"/>
      </w:pPr>
    </w:p>
    <w:p w:rsidR="002D463E" w:rsidRPr="0060332B" w:rsidRDefault="002D463E" w:rsidP="009C250F">
      <w:pPr>
        <w:pStyle w:val="References"/>
      </w:pPr>
      <w:r w:rsidRPr="0060332B">
        <w:t xml:space="preserve">Chrulew, M. (2011), “Reversing Extinction: Restoration and Resurrection in the Pleistocene Rewilding Projects”, </w:t>
      </w:r>
      <w:r w:rsidRPr="0060332B">
        <w:rPr>
          <w:i/>
        </w:rPr>
        <w:t xml:space="preserve">Humanimalia </w:t>
      </w:r>
      <w:r w:rsidRPr="0060332B">
        <w:t>2, 2, pp. 4-27.</w:t>
      </w:r>
    </w:p>
    <w:p w:rsidR="009C250F" w:rsidRDefault="009C250F" w:rsidP="009C250F">
      <w:pPr>
        <w:pStyle w:val="References"/>
      </w:pPr>
    </w:p>
    <w:p w:rsidR="002D463E" w:rsidRPr="0060332B" w:rsidRDefault="002D463E" w:rsidP="009C250F">
      <w:pPr>
        <w:pStyle w:val="References"/>
      </w:pPr>
      <w:r w:rsidRPr="0060332B">
        <w:t xml:space="preserve">Chrulew, M. (forthcoming), </w:t>
      </w:r>
      <w:r w:rsidRPr="0060332B">
        <w:rPr>
          <w:i/>
        </w:rPr>
        <w:t>Mammoth</w:t>
      </w:r>
      <w:r w:rsidRPr="0060332B">
        <w:t>, Reaktion Books: London.</w:t>
      </w:r>
    </w:p>
    <w:p w:rsidR="009C250F" w:rsidRDefault="009C250F" w:rsidP="009C250F">
      <w:pPr>
        <w:pStyle w:val="References"/>
      </w:pPr>
    </w:p>
    <w:p w:rsidR="002D463E" w:rsidRPr="0060332B" w:rsidRDefault="002D463E" w:rsidP="009C250F">
      <w:pPr>
        <w:pStyle w:val="References"/>
      </w:pPr>
      <w:r w:rsidRPr="0060332B">
        <w:t xml:space="preserve">Derrida, J. (1991), “‘Eating Well,’ or the Valculation of the Subject: An Interview with Jacques Derrida”, translated by Connor, P. and Ronell, A., in Cadava, E., Connor, P. and Nancy, J.-L. (Eds) </w:t>
      </w:r>
      <w:r w:rsidRPr="0060332B">
        <w:rPr>
          <w:i/>
        </w:rPr>
        <w:t>Who comes after the subject?</w:t>
      </w:r>
      <w:r w:rsidRPr="0060332B">
        <w:t xml:space="preserve"> Routledge: New York, pp. 96-119.</w:t>
      </w:r>
    </w:p>
    <w:p w:rsidR="009C250F" w:rsidRDefault="009C250F" w:rsidP="009C250F">
      <w:pPr>
        <w:pStyle w:val="References"/>
      </w:pPr>
    </w:p>
    <w:p w:rsidR="002D463E" w:rsidRPr="0060332B" w:rsidRDefault="002D463E" w:rsidP="009C250F">
      <w:pPr>
        <w:pStyle w:val="References"/>
      </w:pPr>
      <w:r w:rsidRPr="0060332B">
        <w:t xml:space="preserve">Flannery, T. (2001), </w:t>
      </w:r>
      <w:r w:rsidRPr="0060332B">
        <w:rPr>
          <w:i/>
          <w:iCs/>
        </w:rPr>
        <w:t>The Eternal Frontier: An Ecological History of North America and its Peoples</w:t>
      </w:r>
      <w:r w:rsidRPr="0060332B">
        <w:t>, Text Publishing: Melbourne.</w:t>
      </w:r>
    </w:p>
    <w:p w:rsidR="009C250F" w:rsidRDefault="009C250F" w:rsidP="009C250F">
      <w:pPr>
        <w:pStyle w:val="References"/>
      </w:pPr>
    </w:p>
    <w:p w:rsidR="002D463E" w:rsidRPr="0060332B" w:rsidRDefault="002D463E" w:rsidP="009C250F">
      <w:pPr>
        <w:pStyle w:val="References"/>
      </w:pPr>
      <w:r w:rsidRPr="0060332B">
        <w:t xml:space="preserve">Foucault, M. (1998), </w:t>
      </w:r>
      <w:r w:rsidRPr="0060332B">
        <w:rPr>
          <w:i/>
        </w:rPr>
        <w:t>The Will to Knowledge: The History of Sexuality, vol. 1</w:t>
      </w:r>
      <w:r w:rsidRPr="0060332B">
        <w:t>, translated by Hurley, R., Penguin Books: London.</w:t>
      </w:r>
    </w:p>
    <w:p w:rsidR="009C250F" w:rsidRDefault="009C250F" w:rsidP="009C250F">
      <w:pPr>
        <w:pStyle w:val="References"/>
      </w:pPr>
    </w:p>
    <w:p w:rsidR="002D463E" w:rsidRPr="0060332B" w:rsidRDefault="002D463E" w:rsidP="009C250F">
      <w:pPr>
        <w:pStyle w:val="References"/>
      </w:pPr>
      <w:r w:rsidRPr="0060332B">
        <w:t xml:space="preserve">Martin, P. S. (1967), “Pleistocene Overkill”, </w:t>
      </w:r>
      <w:r w:rsidRPr="0060332B">
        <w:rPr>
          <w:i/>
        </w:rPr>
        <w:t>Natural History</w:t>
      </w:r>
      <w:r w:rsidRPr="0060332B">
        <w:t>, 76, pp. 32-38.</w:t>
      </w:r>
    </w:p>
    <w:p w:rsidR="009C250F" w:rsidRDefault="009C250F" w:rsidP="009C250F">
      <w:pPr>
        <w:pStyle w:val="References"/>
      </w:pPr>
    </w:p>
    <w:p w:rsidR="002D463E" w:rsidRPr="0060332B" w:rsidRDefault="002D463E" w:rsidP="009C250F">
      <w:pPr>
        <w:pStyle w:val="References"/>
      </w:pPr>
      <w:r w:rsidRPr="0060332B">
        <w:t xml:space="preserve">Martin, P. S. (2005), </w:t>
      </w:r>
      <w:r w:rsidRPr="0060332B">
        <w:rPr>
          <w:i/>
        </w:rPr>
        <w:t>Twilight of the Mammoths: Ice Age Extinctions and the Rewilding of America</w:t>
      </w:r>
      <w:r w:rsidRPr="0060332B">
        <w:t>, University of California Press: Berkeley.</w:t>
      </w:r>
    </w:p>
    <w:p w:rsidR="009C250F" w:rsidRDefault="009C250F" w:rsidP="009C250F">
      <w:pPr>
        <w:pStyle w:val="References"/>
      </w:pPr>
    </w:p>
    <w:p w:rsidR="002D463E" w:rsidRPr="0060332B" w:rsidRDefault="002D463E" w:rsidP="009C250F">
      <w:pPr>
        <w:pStyle w:val="References"/>
      </w:pPr>
      <w:r w:rsidRPr="0060332B">
        <w:t xml:space="preserve">Mitchell, W. J. T. (1998), </w:t>
      </w:r>
      <w:r w:rsidRPr="0060332B">
        <w:rPr>
          <w:i/>
        </w:rPr>
        <w:t>The Last Dinosaur Book: The Life and Times of a Cultural Icon</w:t>
      </w:r>
      <w:r w:rsidRPr="0060332B">
        <w:t>, The University of Chicago Press: London.</w:t>
      </w:r>
    </w:p>
    <w:p w:rsidR="009C250F" w:rsidRDefault="009C250F" w:rsidP="009C250F">
      <w:pPr>
        <w:pStyle w:val="References"/>
      </w:pPr>
    </w:p>
    <w:p w:rsidR="002D463E" w:rsidRPr="0060332B" w:rsidRDefault="002D463E" w:rsidP="009C250F">
      <w:pPr>
        <w:pStyle w:val="References"/>
      </w:pPr>
      <w:r w:rsidRPr="0060332B">
        <w:t xml:space="preserve">Smith, M. (2001) “Environmental Anamnesis: Walter Benjamin and the Ethics of Extinction”, </w:t>
      </w:r>
      <w:r w:rsidRPr="0060332B">
        <w:rPr>
          <w:i/>
        </w:rPr>
        <w:t>Environmental Ethics</w:t>
      </w:r>
      <w:r w:rsidRPr="0060332B">
        <w:t>,</w:t>
      </w:r>
      <w:r w:rsidRPr="0060332B">
        <w:rPr>
          <w:i/>
        </w:rPr>
        <w:t xml:space="preserve"> </w:t>
      </w:r>
      <w:r w:rsidRPr="0060332B">
        <w:t>23, pp. 359-376.</w:t>
      </w:r>
    </w:p>
    <w:p w:rsidR="009C250F" w:rsidRDefault="009C250F" w:rsidP="009C250F">
      <w:pPr>
        <w:pStyle w:val="References"/>
      </w:pPr>
    </w:p>
    <w:p w:rsidR="002D463E" w:rsidRPr="0060332B" w:rsidRDefault="002D463E" w:rsidP="009C250F">
      <w:pPr>
        <w:pStyle w:val="References"/>
      </w:pPr>
      <w:r w:rsidRPr="0060332B">
        <w:t xml:space="preserve">Stoczkowski, W. (2002), </w:t>
      </w:r>
      <w:r w:rsidRPr="0060332B">
        <w:rPr>
          <w:i/>
        </w:rPr>
        <w:t>Explaining Human Origins: Myth, Imagination and Conjecture</w:t>
      </w:r>
      <w:r w:rsidRPr="0060332B">
        <w:t>, translated by Turton, M., Cambridge University Press: Cambridge.</w:t>
      </w:r>
    </w:p>
    <w:p w:rsidR="009C250F" w:rsidRDefault="009C250F" w:rsidP="009C250F">
      <w:pPr>
        <w:pStyle w:val="References"/>
      </w:pPr>
    </w:p>
    <w:p w:rsidR="002D463E" w:rsidRPr="0060332B" w:rsidRDefault="002D463E" w:rsidP="009C250F">
      <w:pPr>
        <w:pStyle w:val="References"/>
      </w:pPr>
      <w:r w:rsidRPr="0060332B">
        <w:t xml:space="preserve">Van Riper, A. B. (1993), </w:t>
      </w:r>
      <w:r w:rsidRPr="0060332B">
        <w:rPr>
          <w:i/>
        </w:rPr>
        <w:t>Men among the Mammoths: Victorian Science and the Discovery of Human Prehistory</w:t>
      </w:r>
      <w:r w:rsidRPr="0060332B">
        <w:t>, The University of Chicago Press: Chicago, London.</w:t>
      </w:r>
    </w:p>
    <w:p w:rsidR="009C250F" w:rsidRDefault="009C250F" w:rsidP="009C250F">
      <w:pPr>
        <w:pStyle w:val="References"/>
      </w:pPr>
    </w:p>
    <w:p w:rsidR="002D463E" w:rsidRPr="0060332B" w:rsidRDefault="002D463E" w:rsidP="009C250F">
      <w:pPr>
        <w:pStyle w:val="References"/>
      </w:pPr>
      <w:r w:rsidRPr="0060332B">
        <w:t xml:space="preserve">Vitebsky, P. (2005), </w:t>
      </w:r>
      <w:r w:rsidRPr="0060332B">
        <w:rPr>
          <w:i/>
        </w:rPr>
        <w:t>Reindeer People: Living with Animals and Spirits in Siberia</w:t>
      </w:r>
      <w:r w:rsidRPr="0060332B">
        <w:t>, Houghton Mifflin: Boston.</w:t>
      </w:r>
    </w:p>
    <w:p w:rsidR="009C250F" w:rsidRDefault="009C250F" w:rsidP="009C250F">
      <w:pPr>
        <w:pStyle w:val="References"/>
      </w:pPr>
    </w:p>
    <w:p w:rsidR="002D463E" w:rsidRDefault="002D463E" w:rsidP="009C250F">
      <w:pPr>
        <w:pStyle w:val="References"/>
        <w:sectPr w:rsidR="002D463E" w:rsidSect="008C556A">
          <w:footnotePr>
            <w:numRestart w:val="eachSect"/>
          </w:footnotePr>
          <w:pgSz w:w="11907" w:h="16839" w:code="9"/>
          <w:pgMar w:top="1440" w:right="2551" w:bottom="1440" w:left="1800" w:header="720" w:footer="720" w:gutter="0"/>
          <w:cols w:space="720"/>
          <w:docGrid w:linePitch="360"/>
        </w:sectPr>
      </w:pPr>
      <w:r w:rsidRPr="0060332B">
        <w:t xml:space="preserve">Willis, J and Ross, T. (2008), </w:t>
      </w:r>
      <w:r w:rsidRPr="0060332B">
        <w:rPr>
          <w:i/>
        </w:rPr>
        <w:t>Mammoth Pie</w:t>
      </w:r>
      <w:r w:rsidRPr="0060332B">
        <w:t>, Andersen Press: London.</w:t>
      </w:r>
    </w:p>
    <w:p w:rsidR="002D463E" w:rsidRPr="009C250F" w:rsidRDefault="002D463E" w:rsidP="00F63083">
      <w:pPr>
        <w:pStyle w:val="Heading1"/>
      </w:pPr>
      <w:bookmarkStart w:id="77" w:name="_Toc292202629"/>
      <w:r w:rsidRPr="009C250F">
        <w:t>Animal Affects: Spinoza and the Frontiers of the Human</w:t>
      </w:r>
      <w:bookmarkEnd w:id="77"/>
    </w:p>
    <w:p w:rsidR="009C250F" w:rsidRDefault="009C250F" w:rsidP="009C250F"/>
    <w:p w:rsidR="009C250F" w:rsidRDefault="009C250F" w:rsidP="00F63083">
      <w:pPr>
        <w:pStyle w:val="Heading1"/>
      </w:pPr>
      <w:bookmarkStart w:id="78" w:name="_Toc292202630"/>
      <w:r w:rsidRPr="009C250F">
        <w:t>Hasana Sharp</w:t>
      </w:r>
      <w:r>
        <w:rPr>
          <w:rStyle w:val="FootnoteReference"/>
          <w:szCs w:val="32"/>
        </w:rPr>
        <w:footnoteReference w:id="14"/>
      </w:r>
      <w:bookmarkEnd w:id="78"/>
    </w:p>
    <w:p w:rsidR="009C250F" w:rsidRDefault="009C250F" w:rsidP="009C250F"/>
    <w:p w:rsidR="002D463E" w:rsidRPr="00B226D5" w:rsidRDefault="002D463E" w:rsidP="00E35253">
      <w:pPr>
        <w:pStyle w:val="Heading3"/>
      </w:pPr>
      <w:r w:rsidRPr="00B226D5">
        <w:t>Introduction</w:t>
      </w:r>
    </w:p>
    <w:p w:rsidR="002D463E" w:rsidRDefault="002D463E" w:rsidP="002D463E"/>
    <w:p w:rsidR="002D463E" w:rsidRDefault="002D463E" w:rsidP="002D463E">
      <w:r>
        <w:t>Seventeenth-</w:t>
      </w:r>
      <w:r w:rsidRPr="00AB04D2">
        <w:t>century philosophers are frequently reviled for their views of nonhuman animals.</w:t>
      </w:r>
      <w:r>
        <w:t xml:space="preserve"> </w:t>
      </w:r>
      <w:r w:rsidRPr="00AB04D2">
        <w:t>It is typical for literature on animal rights to locate the historical origin of our ghastly</w:t>
      </w:r>
      <w:r>
        <w:t xml:space="preserve"> </w:t>
      </w:r>
      <w:r w:rsidRPr="00AB04D2">
        <w:t>treatment of animals in the Cartesian worldview (e.g., Regan 1983).</w:t>
      </w:r>
      <w:r w:rsidRPr="00AB04D2">
        <w:rPr>
          <w:rStyle w:val="FootnoteReference"/>
        </w:rPr>
        <w:footnoteReference w:id="15"/>
      </w:r>
      <w:r>
        <w:t xml:space="preserve"> </w:t>
      </w:r>
      <w:r w:rsidRPr="00AB04D2">
        <w:t>Descartes and his followers receive dubious recognition for disenchanting the natural world and tearing humanity from the fabric of a more integrated relationship to the cosmic order.</w:t>
      </w:r>
      <w:r w:rsidRPr="00AB04D2">
        <w:rPr>
          <w:rStyle w:val="FootnoteReference"/>
        </w:rPr>
        <w:footnoteReference w:id="16"/>
      </w:r>
      <w:r>
        <w:t xml:space="preserve"> </w:t>
      </w:r>
      <w:r w:rsidRPr="00AB04D2">
        <w:t>With early modernity, the gods were pulled from the heavens only to be allowed to tyrannize the earth under the banner of natural science and human progress.</w:t>
      </w:r>
      <w:r>
        <w:t xml:space="preserve"> </w:t>
      </w:r>
      <w:r w:rsidRPr="00AB04D2">
        <w:t xml:space="preserve">The familiar narrative maintains that the scientific worldview of the seventeenth century, with its mechanistic portrait of nature as a series of predictable but aimless causes and effects, gave birth to the now dominant commonsense </w:t>
      </w:r>
      <w:r>
        <w:t>that</w:t>
      </w:r>
      <w:r w:rsidRPr="00AB04D2">
        <w:t xml:space="preserve"> imagine</w:t>
      </w:r>
      <w:r>
        <w:t>s</w:t>
      </w:r>
      <w:r w:rsidRPr="00AB04D2">
        <w:t xml:space="preserve"> nature as a </w:t>
      </w:r>
      <w:r>
        <w:t xml:space="preserve">spiritless </w:t>
      </w:r>
      <w:r w:rsidRPr="00AB04D2">
        <w:t>field of resources to be exploited.</w:t>
      </w:r>
      <w:r>
        <w:t xml:space="preserve"> </w:t>
      </w:r>
      <w:r w:rsidRPr="00AB04D2">
        <w:t>It is a commonsense in which human creativity and authority are the final word and other beings exist only to serve our ends.</w:t>
      </w:r>
      <w:r>
        <w:t xml:space="preserve"> </w:t>
      </w:r>
      <w:r w:rsidRPr="00AB04D2">
        <w:t>As for nonhuman animals, we need not consult their own purposes and pleasures, for, as Descartes’s student Malebranche remarks: “They eat without pleasure, cry without pain, grow without knowing it; they desire nothing, fear nothing, know nothing” (Malebranche, quoted in Harrison 1992</w:t>
      </w:r>
      <w:r>
        <w:t>:</w:t>
      </w:r>
      <w:r w:rsidRPr="00AB04D2">
        <w:t xml:space="preserve"> 219).</w:t>
      </w:r>
      <w:r>
        <w:t xml:space="preserve"> </w:t>
      </w:r>
    </w:p>
    <w:p w:rsidR="00A30E4F" w:rsidRPr="00AB04D2" w:rsidRDefault="00A30E4F" w:rsidP="002D463E"/>
    <w:p w:rsidR="002D463E" w:rsidRPr="00AB04D2" w:rsidRDefault="002D463E" w:rsidP="002D463E">
      <w:r w:rsidRPr="00AB04D2">
        <w:t xml:space="preserve">The celebrated voice of the “radical enlightenment” (Israel 2001), Benedict de Spinoza, although not the </w:t>
      </w:r>
      <w:r w:rsidRPr="00AB04D2">
        <w:rPr>
          <w:i/>
        </w:rPr>
        <w:t xml:space="preserve">locus classicus </w:t>
      </w:r>
      <w:r w:rsidRPr="00AB04D2">
        <w:t>of modern anti-animal sentiment, is likewise identified as an enemy of the four-footed kind.</w:t>
      </w:r>
      <w:r>
        <w:t xml:space="preserve"> </w:t>
      </w:r>
      <w:r w:rsidRPr="00AB04D2">
        <w:t>According to one commentator, Spinoza is much more hostile to nonhuman animals than Descartes (Wolloch</w:t>
      </w:r>
      <w:r>
        <w:t>,</w:t>
      </w:r>
      <w:r w:rsidRPr="00AB04D2">
        <w:t xml:space="preserve"> 2006</w:t>
      </w:r>
      <w:r>
        <w:t>:</w:t>
      </w:r>
      <w:r w:rsidRPr="00AB04D2">
        <w:t xml:space="preserve"> 43).</w:t>
      </w:r>
      <w:r>
        <w:t xml:space="preserve"> </w:t>
      </w:r>
      <w:r w:rsidRPr="00AB04D2">
        <w:t xml:space="preserve">Although he was less influential than Descartes, </w:t>
      </w:r>
      <w:r>
        <w:t>Spinoza</w:t>
      </w:r>
      <w:r w:rsidRPr="00AB04D2">
        <w:t xml:space="preserve"> stands accused of continuing and even amplifying </w:t>
      </w:r>
      <w:r>
        <w:t xml:space="preserve">the </w:t>
      </w:r>
      <w:r w:rsidRPr="00AB04D2">
        <w:t>justification for the instrumental use of animals by humans.</w:t>
      </w:r>
      <w:r>
        <w:t xml:space="preserve"> </w:t>
      </w:r>
      <w:r w:rsidRPr="00AB04D2">
        <w:t>On a biographical note, in contrast to Descartes who was known to have lavished affection upon his canine companion (Vrooman</w:t>
      </w:r>
      <w:r>
        <w:t>,</w:t>
      </w:r>
      <w:r w:rsidRPr="00AB04D2">
        <w:t xml:space="preserve"> 1970</w:t>
      </w:r>
      <w:r>
        <w:t>:</w:t>
      </w:r>
      <w:r w:rsidRPr="00AB04D2">
        <w:t xml:space="preserve"> 194), Spinoza indulged in the “sadistic” pleasure of encouraging spiders to fight for his twisted amusement (Berman</w:t>
      </w:r>
      <w:r>
        <w:t>,</w:t>
      </w:r>
      <w:r w:rsidRPr="00AB04D2">
        <w:t xml:space="preserve"> 1982).</w:t>
      </w:r>
      <w:r>
        <w:t xml:space="preserve"> </w:t>
      </w:r>
      <w:r w:rsidRPr="00AB04D2">
        <w:t xml:space="preserve">In this paper, I argue that Spinoza exhibits ambivalence and anxiety about the human-animal boundary, </w:t>
      </w:r>
      <w:r>
        <w:t xml:space="preserve">and this is so </w:t>
      </w:r>
      <w:r w:rsidRPr="00AB04D2">
        <w:t>precisely because it is within the context of the early modern paradigm shifts that such a boundary becomes all the more permeable.</w:t>
      </w:r>
      <w:r>
        <w:t xml:space="preserve"> </w:t>
      </w:r>
      <w:r w:rsidRPr="00AB04D2">
        <w:t xml:space="preserve">Thus, in contrast to the narrative that claims that the loss of spiritual continuity between animal and human life makes possible the early modern view of beasts as unfeeling machines, </w:t>
      </w:r>
      <w:r>
        <w:t xml:space="preserve">Spinoza’s case, we will see, </w:t>
      </w:r>
      <w:r w:rsidRPr="00AB04D2">
        <w:t>suggests that the increasingly naturalistic worldview threatens to erode the distinction between human and nonhuman animal.</w:t>
      </w:r>
      <w:r>
        <w:t xml:space="preserve"> </w:t>
      </w:r>
      <w:r w:rsidRPr="00AB04D2">
        <w:t>It is precisely this erosion that puts philosophers on alert, as it were, and prompts them to assert artificial boundaries in order to preserve (or, fabricate, depending on your perspective) human dignity and distinctiveness.</w:t>
      </w:r>
      <w:r>
        <w:t xml:space="preserve"> </w:t>
      </w:r>
    </w:p>
    <w:p w:rsidR="002D463E" w:rsidRDefault="002D463E" w:rsidP="002D463E"/>
    <w:p w:rsidR="002D463E" w:rsidRPr="00AB04D2" w:rsidRDefault="002D463E" w:rsidP="002D463E">
      <w:r w:rsidRPr="00AB04D2">
        <w:t>Indeed, the more a naturalistic and evolutionary worldview took hold, to culminate in Darwinism, the more baroque philosophers’ accounts of human exceptionalism had to become.</w:t>
      </w:r>
      <w:r>
        <w:t xml:space="preserve"> </w:t>
      </w:r>
      <w:r w:rsidRPr="00AB04D2">
        <w:t>Such a tendency continues to operate today.</w:t>
      </w:r>
      <w:r>
        <w:t xml:space="preserve"> </w:t>
      </w:r>
      <w:r w:rsidRPr="00AB04D2">
        <w:t>Most contemporary philosophers share the Kantian compatibilist view of human freedom that maintains that, although our bodies and behaviors are determined by an entirely predictable chain of cause and effect, morality requires that we attribute to rational beings a free agency that can nowhere be observed except by the inward looking eye of reason (Kant 1999 [1781], A 448/ B 476 – A 452/ B 480).</w:t>
      </w:r>
      <w:r>
        <w:t xml:space="preserve"> </w:t>
      </w:r>
      <w:r w:rsidRPr="00AB04D2">
        <w:t xml:space="preserve">The mysterious moral imperative to attribute a “special cause” to human action, even when human behavior is entirely predictable and can be accounted for the same way as any other natural thing, is a vestige of the wishful thinking that aims to maintain that humans are, concomitantly, natural beings </w:t>
      </w:r>
      <w:r>
        <w:t>and</w:t>
      </w:r>
      <w:r w:rsidRPr="00AB04D2">
        <w:t xml:space="preserve"> absolutely distinct in kind from </w:t>
      </w:r>
      <w:r>
        <w:t>natural things</w:t>
      </w:r>
      <w:r w:rsidRPr="00AB04D2">
        <w:t>.</w:t>
      </w:r>
      <w:r>
        <w:t xml:space="preserve"> </w:t>
      </w:r>
      <w:r w:rsidRPr="00AB04D2">
        <w:t>This antinomian logic – this view of ourselves as A(nimal) and not-A(nimal) – is visible even in Spinoza</w:t>
      </w:r>
      <w:r>
        <w:t>,</w:t>
      </w:r>
      <w:r w:rsidRPr="00AB04D2">
        <w:t xml:space="preserve"> whose system denies any absolute differences between finite existents.</w:t>
      </w:r>
      <w:r>
        <w:t xml:space="preserve"> </w:t>
      </w:r>
    </w:p>
    <w:p w:rsidR="002D463E" w:rsidRDefault="002D463E" w:rsidP="002D463E"/>
    <w:p w:rsidR="002D463E" w:rsidRPr="00AB04D2" w:rsidRDefault="002D463E" w:rsidP="002D463E">
      <w:r w:rsidRPr="00AB04D2">
        <w:t>In Spinoza’s philosophy, God ceases to be a remote and benevolent ruler, analogous to a magistrate, and becomes an immanent principle, infusing each and every being from the “lowest” to the “highest.”</w:t>
      </w:r>
      <w:r>
        <w:t xml:space="preserve"> </w:t>
      </w:r>
      <w:r w:rsidRPr="00AB04D2">
        <w:t>Thus, Albert Einstein</w:t>
      </w:r>
      <w:r>
        <w:t xml:space="preserve"> (1929)</w:t>
      </w:r>
      <w:r w:rsidRPr="00AB04D2">
        <w:t xml:space="preserve"> thought that Spinoza’s God might be none other than the lawfulness of the universe, the infinite energetic power that connects each being to every other in a stable and regular fashion.</w:t>
      </w:r>
      <w:r>
        <w:t xml:space="preserve"> </w:t>
      </w:r>
      <w:r w:rsidRPr="00AB04D2">
        <w:t>In contrast to the mainstream Enlightenment tradition, Spinoza did not bring God to earth only to relocate divinity in reason.</w:t>
      </w:r>
      <w:r>
        <w:t xml:space="preserve"> </w:t>
      </w:r>
      <w:r w:rsidRPr="00AB04D2">
        <w:t xml:space="preserve">Rather, with his famous formula </w:t>
      </w:r>
      <w:r w:rsidRPr="00AB04D2">
        <w:rPr>
          <w:i/>
        </w:rPr>
        <w:t xml:space="preserve">Deus sive Natura, </w:t>
      </w:r>
      <w:r w:rsidRPr="00AB04D2">
        <w:t>God disappears into nature and dissolves the elect status of humanity (Montag</w:t>
      </w:r>
      <w:r>
        <w:t>,</w:t>
      </w:r>
      <w:r w:rsidRPr="00AB04D2">
        <w:t xml:space="preserve"> 1989).</w:t>
      </w:r>
      <w:r>
        <w:t xml:space="preserve"> </w:t>
      </w:r>
      <w:r w:rsidRPr="00AB04D2">
        <w:t>Even though his metaphysical system demands it, Spinoza himself does not seem altogether comfortable with the consequences of his metaphysics for human distinctiveness.</w:t>
      </w:r>
      <w:r>
        <w:t xml:space="preserve"> </w:t>
      </w:r>
      <w:r w:rsidRPr="00AB04D2">
        <w:t xml:space="preserve">Thus, while the inevitable consequence of emerging natural science is that humans are </w:t>
      </w:r>
      <w:r>
        <w:t xml:space="preserve">a </w:t>
      </w:r>
      <w:r w:rsidRPr="00AB04D2">
        <w:t>distinctive kind of animal, one of the most rigorously naturalist philosophers aims to insert a rigid boundary between humanity and what he calls “beasts.”</w:t>
      </w:r>
      <w:r>
        <w:t xml:space="preserve"> </w:t>
      </w:r>
      <w:r w:rsidRPr="00AB04D2">
        <w:t>The importance of the di</w:t>
      </w:r>
      <w:r>
        <w:t>stance between human and animal</w:t>
      </w:r>
      <w:r w:rsidRPr="00AB04D2">
        <w:t xml:space="preserve"> in the seventeenth century, as I suggest</w:t>
      </w:r>
      <w:r>
        <w:t>ed</w:t>
      </w:r>
      <w:r w:rsidRPr="00AB04D2">
        <w:t xml:space="preserve"> above, arises because it is precisely what can no longer be metaphysically sustained.</w:t>
      </w:r>
      <w:r>
        <w:t xml:space="preserve"> </w:t>
      </w:r>
      <w:r w:rsidRPr="00AB04D2">
        <w:t>That is, Spinoza exhibits profound anxiety about human and animal intimacy as he strives to establish the view that we obey a natural rather than a spiritual order.</w:t>
      </w:r>
      <w:r>
        <w:t xml:space="preserve"> </w:t>
      </w:r>
      <w:r w:rsidRPr="00AB04D2">
        <w:t>Perhaps the amplified “cruelty” some detect in Spinoza follows from his thoroughgoing naturalism, which tore down the wall between mind and body that Descartes erected, which distinguishes minded beings from the rest of nature.</w:t>
      </w:r>
      <w:r>
        <w:t xml:space="preserve"> </w:t>
      </w:r>
    </w:p>
    <w:p w:rsidR="002D463E" w:rsidRDefault="002D463E" w:rsidP="002D463E"/>
    <w:p w:rsidR="002D463E" w:rsidRPr="00AB04D2" w:rsidRDefault="002D463E" w:rsidP="002D463E">
      <w:r w:rsidRPr="00AB04D2">
        <w:t>Like any broad narrative about the history of ideas, this one involves a number of simplifications.</w:t>
      </w:r>
      <w:r>
        <w:t xml:space="preserve"> </w:t>
      </w:r>
      <w:r w:rsidRPr="00AB04D2">
        <w:t>My hope is that b</w:t>
      </w:r>
      <w:r>
        <w:t>y taking a closer look</w:t>
      </w:r>
      <w:r w:rsidRPr="00AB04D2">
        <w:t xml:space="preserve"> Spinoza’s notorious remarks on animals, we can understand better why it becomes especially urgent in this period – as well as our own – for philosophers to emphasize a distinction between human and nonhuman animals.</w:t>
      </w:r>
      <w:r>
        <w:t xml:space="preserve"> </w:t>
      </w:r>
      <w:r w:rsidRPr="00AB04D2">
        <w:t>In diagnosing the concerns that give rise to the desire to dismiss the independent purposes of animals, we may come to focus on a new aspect of what needs to change about contemporary thinking on species divisions.</w:t>
      </w:r>
      <w:r>
        <w:t xml:space="preserve"> </w:t>
      </w:r>
      <w:r w:rsidRPr="00AB04D2">
        <w:t>In what follows, I will bring out Spinoza’s contradictory and ambivalent remarks pertaining to the specific differences between humans and animals.</w:t>
      </w:r>
      <w:r>
        <w:t xml:space="preserve"> </w:t>
      </w:r>
      <w:r w:rsidRPr="00AB04D2">
        <w:t>It is my suspicion that this ambivalence continues to plague us today.</w:t>
      </w:r>
      <w:r>
        <w:t xml:space="preserve"> </w:t>
      </w:r>
      <w:r w:rsidRPr="00AB04D2">
        <w:t>Like Spinoza, we want to say that humans are like and unlike animals.</w:t>
      </w:r>
      <w:r>
        <w:t xml:space="preserve"> </w:t>
      </w:r>
      <w:r w:rsidRPr="00AB04D2">
        <w:t>As a simply descriptive claim, it may be true and innocuous.</w:t>
      </w:r>
      <w:r>
        <w:t xml:space="preserve"> </w:t>
      </w:r>
      <w:r w:rsidRPr="00AB04D2">
        <w:t>Yet, the way we affirm our proximity and distance from nonhuman animals requires careful attention.</w:t>
      </w:r>
      <w:r>
        <w:t xml:space="preserve"> </w:t>
      </w:r>
      <w:r w:rsidRPr="00AB04D2">
        <w:t xml:space="preserve">Spinoza viewed </w:t>
      </w:r>
      <w:r>
        <w:t>this</w:t>
      </w:r>
      <w:r w:rsidRPr="00AB04D2">
        <w:t xml:space="preserve"> proximity as a source of danger.</w:t>
      </w:r>
      <w:r>
        <w:t xml:space="preserve"> </w:t>
      </w:r>
      <w:r w:rsidRPr="00AB04D2">
        <w:t xml:space="preserve">We might do well to emphasize, with thinkers </w:t>
      </w:r>
      <w:r>
        <w:t>such as</w:t>
      </w:r>
      <w:r w:rsidRPr="00AB04D2">
        <w:t xml:space="preserve"> Donna Haraway (2003), how our proximity and difference are also sources of pleasure and power, both to be able to enjoy the affectionate bond that can often develop between humans and our animal companions but also to quell the anxiety that might </w:t>
      </w:r>
      <w:r>
        <w:t xml:space="preserve">encourage us </w:t>
      </w:r>
      <w:r w:rsidRPr="00AB04D2">
        <w:t xml:space="preserve">to exploit and abuse them. </w:t>
      </w:r>
    </w:p>
    <w:p w:rsidR="002D463E" w:rsidRPr="00AB04D2" w:rsidRDefault="002D463E" w:rsidP="002D463E"/>
    <w:p w:rsidR="002D463E" w:rsidRPr="00AB04D2" w:rsidRDefault="002D463E" w:rsidP="00E35253">
      <w:pPr>
        <w:pStyle w:val="Heading3"/>
      </w:pPr>
      <w:r w:rsidRPr="00AB04D2">
        <w:t>Animal Natures</w:t>
      </w:r>
    </w:p>
    <w:p w:rsidR="002D463E" w:rsidRDefault="002D463E" w:rsidP="002D463E"/>
    <w:p w:rsidR="002D463E" w:rsidRDefault="002D463E" w:rsidP="002D463E">
      <w:r w:rsidRPr="00AB04D2">
        <w:t>Commentators are right to recognize that Spinoza exhibits no sympathy for nonhuman animals.</w:t>
      </w:r>
      <w:r>
        <w:t xml:space="preserve"> </w:t>
      </w:r>
      <w:r w:rsidRPr="00AB04D2">
        <w:t>He asserts our right to kill them, use them as suits our purposes, and expresses contempt for that “womanly” compassion that seeks to protect beasts from the excesses of man.</w:t>
      </w:r>
      <w:r>
        <w:t xml:space="preserve"> </w:t>
      </w:r>
      <w:r w:rsidRPr="00AB04D2">
        <w:t xml:space="preserve">He claims that animals have different “affects” and thus different “natures” from humans, and therefore we </w:t>
      </w:r>
      <w:r>
        <w:t>may</w:t>
      </w:r>
      <w:r w:rsidRPr="00AB04D2">
        <w:t xml:space="preserve"> use them as we see fit (</w:t>
      </w:r>
      <w:smartTag w:uri="urn:schemas-microsoft-com:office:smarttags" w:element="place">
        <w:r w:rsidRPr="00AB04D2">
          <w:t>E IVp37s1</w:t>
        </w:r>
      </w:smartTag>
      <w:r w:rsidRPr="00AB04D2">
        <w:t>).</w:t>
      </w:r>
      <w:r w:rsidRPr="00AB04D2">
        <w:rPr>
          <w:rStyle w:val="FootnoteReference"/>
        </w:rPr>
        <w:footnoteReference w:id="17"/>
      </w:r>
      <w:r>
        <w:t xml:space="preserve"> </w:t>
      </w:r>
      <w:r w:rsidRPr="00AB04D2">
        <w:t xml:space="preserve">Thus, </w:t>
      </w:r>
      <w:r>
        <w:t>in</w:t>
      </w:r>
      <w:r w:rsidRPr="00AB04D2">
        <w:t xml:space="preserve"> his remarks on animals he seems to insert a meaningful difference between both humans and nonhuman animals and between men and women.</w:t>
      </w:r>
      <w:r>
        <w:t xml:space="preserve"> </w:t>
      </w:r>
      <w:r w:rsidRPr="00AB04D2">
        <w:t>Women, according to Spinoza, tend to be overly compassionate toward animals, to feel with them, as the word implies, and thus fail to appreciate the difference in animal and human natures.</w:t>
      </w:r>
      <w:r>
        <w:t xml:space="preserve"> </w:t>
      </w:r>
      <w:r w:rsidRPr="00AB04D2">
        <w:t>Such feeling together of human and beast i</w:t>
      </w:r>
      <w:r>
        <w:t>s inappropriate according to</w:t>
      </w:r>
      <w:r w:rsidRPr="00AB04D2">
        <w:t xml:space="preserve"> Spinoza, since it is not a fruitful exercise of right, which he identifies with power, understood as capacity (TTP 16.1).</w:t>
      </w:r>
      <w:r>
        <w:t xml:space="preserve"> </w:t>
      </w:r>
      <w:r w:rsidRPr="00AB04D2">
        <w:t>Spinoza maintains that it is to the detriment of our power, to our capacities as the kinds of beings that we are, to identify with the plight of animals and to consider their requirements to be on par with our own (</w:t>
      </w:r>
      <w:r>
        <w:t>c</w:t>
      </w:r>
      <w:r w:rsidRPr="00AB04D2">
        <w:t>f. Montag</w:t>
      </w:r>
      <w:r>
        <w:t>,</w:t>
      </w:r>
      <w:r w:rsidRPr="00AB04D2">
        <w:t xml:space="preserve"> 2009).</w:t>
      </w:r>
      <w:r>
        <w:t xml:space="preserve"> </w:t>
      </w:r>
      <w:r w:rsidRPr="00AB04D2">
        <w:t>How does he support the claim that animals have different natures from humans?</w:t>
      </w:r>
      <w:r>
        <w:t xml:space="preserve"> </w:t>
      </w:r>
      <w:r w:rsidRPr="00AB04D2">
        <w:t>In this section, I will address this crucial question in effort to understand why he thinks their powers are incompatible with our own.</w:t>
      </w:r>
      <w:r>
        <w:t xml:space="preserve"> </w:t>
      </w:r>
      <w:r w:rsidRPr="00AB04D2">
        <w:t xml:space="preserve">In the following </w:t>
      </w:r>
      <w:r>
        <w:t>section</w:t>
      </w:r>
      <w:r w:rsidRPr="00AB04D2">
        <w:t xml:space="preserve">, I will consider an unusual passage from Spinoza’s masterwork, </w:t>
      </w:r>
      <w:r w:rsidRPr="00AB04D2">
        <w:rPr>
          <w:i/>
        </w:rPr>
        <w:t xml:space="preserve">Ethics, </w:t>
      </w:r>
      <w:r w:rsidRPr="00AB04D2">
        <w:t>which calls into question the rigid boundary he identifies between humans and animals.</w:t>
      </w:r>
      <w:r>
        <w:t xml:space="preserve"> </w:t>
      </w:r>
      <w:r w:rsidRPr="00AB04D2">
        <w:t>Moreover, in</w:t>
      </w:r>
      <w:r>
        <w:t xml:space="preserve"> this</w:t>
      </w:r>
      <w:r w:rsidRPr="00AB04D2">
        <w:t xml:space="preserve"> same passage, he avoids suggesting that woman is destructively compassionate and thus inferior to man.</w:t>
      </w:r>
      <w:r>
        <w:t xml:space="preserve"> </w:t>
      </w:r>
      <w:r w:rsidRPr="00AB04D2">
        <w:t>So, while we will examine his claims for specific difference, we will see that he does not maintain them consistently.</w:t>
      </w:r>
      <w:r>
        <w:t xml:space="preserve"> </w:t>
      </w:r>
      <w:r w:rsidRPr="00AB04D2">
        <w:t>Such a finding implies that he glimpses the potential of his metaphysics to subvert the human-animal distin</w:t>
      </w:r>
      <w:r>
        <w:t>ction, and yet shrinks from it</w:t>
      </w:r>
      <w:r w:rsidRPr="00AB04D2">
        <w:t xml:space="preserve"> whenever he sees fit to make an assertion about how we ought to regard our beastly cousins.</w:t>
      </w:r>
      <w:r>
        <w:t xml:space="preserve">  </w:t>
      </w:r>
    </w:p>
    <w:p w:rsidR="002D463E" w:rsidRPr="00AB04D2" w:rsidRDefault="002D463E" w:rsidP="002D463E">
      <w:r>
        <w:t xml:space="preserve"> </w:t>
      </w:r>
    </w:p>
    <w:p w:rsidR="002D463E" w:rsidRPr="00AB04D2" w:rsidRDefault="002D463E" w:rsidP="002D463E">
      <w:r w:rsidRPr="00AB04D2">
        <w:t xml:space="preserve">Although in contrast to Descartes, Spinoza does not deny that animals have sensations and feelings, he </w:t>
      </w:r>
      <w:r>
        <w:t>does justify</w:t>
      </w:r>
      <w:r w:rsidRPr="00AB04D2">
        <w:t xml:space="preserve"> preferring human interest as a general rule because “they do not agree in nature with us, and their affects are different in nature from human affects” (</w:t>
      </w:r>
      <w:smartTag w:uri="urn:schemas-microsoft-com:office:smarttags" w:element="place">
        <w:r w:rsidRPr="00AB04D2">
          <w:t>E IVp37s</w:t>
        </w:r>
      </w:smartTag>
      <w:r w:rsidRPr="00AB04D2">
        <w:t>).</w:t>
      </w:r>
      <w:r>
        <w:t xml:space="preserve"> </w:t>
      </w:r>
      <w:r w:rsidRPr="00AB04D2">
        <w:t>Nevertheless, in his account of the fall from grace in the garden of Eden, he attributes Adam’s loss of freedom to the fact that the first man began to imitate the affects of beasts rather than those of his partner, Eve (</w:t>
      </w:r>
      <w:smartTag w:uri="urn:schemas-microsoft-com:office:smarttags" w:element="place">
        <w:r w:rsidRPr="00AB04D2">
          <w:t>E IVp68s</w:t>
        </w:r>
      </w:smartTag>
      <w:r w:rsidRPr="00AB04D2">
        <w:t>).</w:t>
      </w:r>
      <w:r>
        <w:t xml:space="preserve"> </w:t>
      </w:r>
      <w:r w:rsidRPr="00AB04D2">
        <w:t>We thus see that animal affects, whatever they are like for Spinoza, are not so different that we cannot be profoundly and perhaps irreversibly changed by them.</w:t>
      </w:r>
      <w:r>
        <w:t xml:space="preserve"> </w:t>
      </w:r>
      <w:r w:rsidRPr="00AB04D2">
        <w:t>While I will discuss Spinoza’s peculiar version of the Fall in the next section, this point highlights the need to explain the character of human nature according to Spinoza.</w:t>
      </w:r>
    </w:p>
    <w:p w:rsidR="002D463E" w:rsidRDefault="002D463E" w:rsidP="002D463E"/>
    <w:p w:rsidR="002D463E" w:rsidRPr="00AB04D2" w:rsidRDefault="002D463E" w:rsidP="002D463E">
      <w:r w:rsidRPr="00AB04D2">
        <w:t>Genevieve Lloyd has remarked that Spinoza’s account of different “natures” belonging to humans and animals is “too imprecise” and does not help us to understand Spinoza’s assertion of our rights over animals (Lloyd</w:t>
      </w:r>
      <w:r>
        <w:t>, 1980:</w:t>
      </w:r>
      <w:r w:rsidRPr="00AB04D2">
        <w:t xml:space="preserve"> 302).</w:t>
      </w:r>
      <w:r>
        <w:t xml:space="preserve"> </w:t>
      </w:r>
      <w:r w:rsidRPr="00AB04D2">
        <w:t>On a casual reading, he seems to claim that human nature is simply different in kind from bestial nature and thus we do not regard ourselves to be bound to them.</w:t>
      </w:r>
      <w:r>
        <w:t xml:space="preserve"> </w:t>
      </w:r>
      <w:r w:rsidRPr="00AB04D2">
        <w:t>Our affects, natures, and vital interests differ, and thus we have no moral or prudential reasons to preserve and enhance the lives of animals.</w:t>
      </w:r>
      <w:r>
        <w:t xml:space="preserve"> </w:t>
      </w:r>
      <w:r w:rsidRPr="00AB04D2">
        <w:t>Unlike Descartes and the idealist tradition that he inaugurates, however, this lack of imperative to care for animals does not follow from an absolute division between humans and animals.</w:t>
      </w:r>
      <w:r>
        <w:t xml:space="preserve"> </w:t>
      </w:r>
      <w:r w:rsidRPr="00AB04D2">
        <w:t>For Spinoza, there is no unbridgeable chasm between the conscious animal and the unconscious thing.</w:t>
      </w:r>
      <w:r>
        <w:t xml:space="preserve"> </w:t>
      </w:r>
      <w:r w:rsidRPr="00AB04D2">
        <w:t>Descartes, Kant, and Hegel frequently appeal to the infinite difference between humans and “things,” a category that includes nonhuman anim</w:t>
      </w:r>
      <w:r>
        <w:t>als, by virtue of an exclusive</w:t>
      </w:r>
      <w:r w:rsidRPr="00AB04D2">
        <w:t xml:space="preserve"> mental power to think, will, and represent our sensations.</w:t>
      </w:r>
      <w:r>
        <w:t xml:space="preserve"> </w:t>
      </w:r>
      <w:r w:rsidRPr="00AB04D2">
        <w:t>Yet, for Spinoza, there are only differences of degree between humans, animals, machines, and rocks.</w:t>
      </w:r>
      <w:r>
        <w:t xml:space="preserve"> </w:t>
      </w:r>
      <w:r w:rsidRPr="00AB04D2">
        <w:t>Whereas Descartes maintains that beings have rational minds or they do not think at all, Spinoza asserts that all beings are, albeit to different degrees, animate (</w:t>
      </w:r>
      <w:smartTag w:uri="urn:schemas-microsoft-com:office:smarttags" w:element="place">
        <w:r w:rsidRPr="00AB04D2">
          <w:t>E IIp13s</w:t>
        </w:r>
      </w:smartTag>
      <w:r w:rsidRPr="00AB04D2">
        <w:t>).</w:t>
      </w:r>
      <w:r>
        <w:t xml:space="preserve"> </w:t>
      </w:r>
      <w:r w:rsidRPr="00AB04D2">
        <w:t>We can see that Descartes’s</w:t>
      </w:r>
      <w:r>
        <w:t xml:space="preserve"> insistence on the </w:t>
      </w:r>
      <w:r w:rsidRPr="00AB04D2">
        <w:t>universal rationality of humans was embraced by women and facilitated the dawn of humanism,</w:t>
      </w:r>
      <w:r w:rsidRPr="00AB04D2">
        <w:rPr>
          <w:rStyle w:val="FootnoteReference"/>
        </w:rPr>
        <w:footnoteReference w:id="18"/>
      </w:r>
      <w:r w:rsidRPr="00AB04D2">
        <w:t xml:space="preserve"> in which each and every one is owed the respect of being called a “person.”</w:t>
      </w:r>
      <w:r>
        <w:t xml:space="preserve"> </w:t>
      </w:r>
      <w:r w:rsidRPr="00AB04D2">
        <w:t>The flipside, of course, of claiming that mentality is all or nothing, is that it installs a stark opposition between minded and non-minded beings, and arouses debates that continue today about those putatively borderline figures – the cognitively disable</w:t>
      </w:r>
      <w:r>
        <w:t>d</w:t>
      </w:r>
      <w:r w:rsidRPr="00AB04D2">
        <w:t>, the insane, the child, and the great ape – who clearly communicate but do not exhibit the acknowledged signs of reason and freedom of will.</w:t>
      </w:r>
      <w:r>
        <w:t xml:space="preserve"> </w:t>
      </w:r>
      <w:r w:rsidRPr="00AB04D2">
        <w:t>With the humanist tradition and its view of universal and equal dignity proper to all rational beings, it is absolutely wrong to use another person as a means to one’s ends (Kant</w:t>
      </w:r>
      <w:r>
        <w:t>,</w:t>
      </w:r>
      <w:r w:rsidRPr="00AB04D2">
        <w:t xml:space="preserve"> 1997 [1788]).</w:t>
      </w:r>
      <w:r>
        <w:t xml:space="preserve"> </w:t>
      </w:r>
      <w:r w:rsidRPr="00AB04D2">
        <w:t>Nonhumans, however, cease</w:t>
      </w:r>
      <w:r>
        <w:t>d</w:t>
      </w:r>
      <w:r w:rsidRPr="00AB04D2">
        <w:t xml:space="preserve"> to belong to a spectrum of animate existence and became “things,” the rightful means to the ends of persons.</w:t>
      </w:r>
      <w:r>
        <w:t xml:space="preserve"> </w:t>
      </w:r>
      <w:r w:rsidRPr="00AB04D2">
        <w:t>Arguments for a universal rational capacity proper to all humans and absent in all nonhumans, of course, coincided with the expansion of the slave trade and the millions of people who were used as tools were argued to belong to the category of things.</w:t>
      </w:r>
      <w:r>
        <w:t xml:space="preserve"> </w:t>
      </w:r>
      <w:r w:rsidRPr="00AB04D2">
        <w:t>The logic of humanism is Manichean: each being is or is not a person.</w:t>
      </w:r>
      <w:r>
        <w:t xml:space="preserve"> </w:t>
      </w:r>
    </w:p>
    <w:p w:rsidR="002D463E" w:rsidRDefault="002D463E" w:rsidP="002D463E"/>
    <w:p w:rsidR="002D463E" w:rsidRPr="00AB04D2" w:rsidRDefault="002D463E" w:rsidP="002D463E">
      <w:r w:rsidRPr="00AB04D2">
        <w:t>For Spinoza, in contrast, there is no ontological chasm between what has a mind and what does not.</w:t>
      </w:r>
      <w:r>
        <w:t xml:space="preserve"> </w:t>
      </w:r>
      <w:r w:rsidRPr="00AB04D2">
        <w:t>The foundations of reason exist as much in rocks, salamanders, and computers as they do in those beings we call “human” (</w:t>
      </w:r>
      <w:r>
        <w:t>c</w:t>
      </w:r>
      <w:r w:rsidRPr="00AB04D2">
        <w:t>f. Melamed</w:t>
      </w:r>
      <w:r>
        <w:t>,</w:t>
      </w:r>
      <w:r w:rsidRPr="00AB04D2">
        <w:t xml:space="preserve"> 2011).</w:t>
      </w:r>
      <w:r>
        <w:t xml:space="preserve"> </w:t>
      </w:r>
      <w:r w:rsidRPr="00AB04D2">
        <w:t>Moreover, with the exception of the infinite mind of God, rationality is a matter of degree, and there is no one whose rationality is not “infinitely surpassed by the power of external causes” (</w:t>
      </w:r>
      <w:smartTag w:uri="urn:schemas-microsoft-com:office:smarttags" w:element="place">
        <w:r w:rsidRPr="00AB04D2">
          <w:t>E IVp3</w:t>
        </w:r>
      </w:smartTag>
      <w:r w:rsidRPr="00AB04D2">
        <w:t>).</w:t>
      </w:r>
      <w:r>
        <w:t xml:space="preserve"> </w:t>
      </w:r>
      <w:r w:rsidRPr="00AB04D2">
        <w:t>Humanity, or personhood is not an absolute category and rationality is necessarily fragile and precarious in everyone (</w:t>
      </w:r>
      <w:smartTag w:uri="urn:schemas-microsoft-com:office:smarttags" w:element="place">
        <w:r w:rsidRPr="00AB04D2">
          <w:t>E IVappVII</w:t>
        </w:r>
      </w:smartTag>
      <w:r w:rsidRPr="00AB04D2">
        <w:t>).</w:t>
      </w:r>
      <w:r>
        <w:t xml:space="preserve"> </w:t>
      </w:r>
    </w:p>
    <w:p w:rsidR="002D463E" w:rsidRDefault="002D463E" w:rsidP="002D463E"/>
    <w:p w:rsidR="002D463E" w:rsidRPr="00AB04D2" w:rsidRDefault="002D463E" w:rsidP="002D463E">
      <w:r w:rsidRPr="00AB04D2">
        <w:t xml:space="preserve">Rationality, for Spinoza, emerges out </w:t>
      </w:r>
      <w:r>
        <w:t xml:space="preserve">of </w:t>
      </w:r>
      <w:r w:rsidRPr="00AB04D2">
        <w:t>the properties that bodies have in common.</w:t>
      </w:r>
      <w:r>
        <w:t xml:space="preserve"> </w:t>
      </w:r>
      <w:r w:rsidRPr="00AB04D2">
        <w:t>When bodies encounter one another, Spinoza claims that the mind cannot but perceive what they have in common, which results in certain ideas being adequate in “all men” (E IIp38c).</w:t>
      </w:r>
      <w:r>
        <w:t xml:space="preserve"> </w:t>
      </w:r>
      <w:r w:rsidRPr="00AB04D2">
        <w:t>It is unclear why Spinoza only mentions that human minds perceive these co</w:t>
      </w:r>
      <w:r>
        <w:t>mmon properties, but part II of</w:t>
      </w:r>
      <w:r w:rsidRPr="00AB04D2">
        <w:t xml:space="preserve"> his </w:t>
      </w:r>
      <w:r w:rsidRPr="00AB04D2">
        <w:rPr>
          <w:i/>
        </w:rPr>
        <w:t xml:space="preserve">Ethics </w:t>
      </w:r>
      <w:r w:rsidRPr="00AB04D2">
        <w:t>is expressly dedicated to explaining the nature and origin of the human mind.</w:t>
      </w:r>
      <w:r>
        <w:t xml:space="preserve"> </w:t>
      </w:r>
      <w:r w:rsidRPr="00AB04D2">
        <w:t>Without getting into the obscurity of his account of the “foundations of our reasoning” (called “common notions”), we can observe that reason depends upon our having sustained contact with those similar beings with whom we can, according to Spinoza, “agree in nature.”</w:t>
      </w:r>
      <w:r>
        <w:t xml:space="preserve"> </w:t>
      </w:r>
      <w:r w:rsidRPr="00AB04D2">
        <w:t>Nevertheless, Spinoza does not claim that humans automatically share a nature.</w:t>
      </w:r>
      <w:r>
        <w:t xml:space="preserve"> </w:t>
      </w:r>
      <w:r w:rsidRPr="00AB04D2">
        <w:t>There is no universal, overarching human essence that might tie all of us together.</w:t>
      </w:r>
      <w:r>
        <w:t xml:space="preserve"> </w:t>
      </w:r>
      <w:r w:rsidRPr="00AB04D2">
        <w:t>On his view, each being in nature – organic or inorganic – has a singular essence (or nature), a unique ratio of motion and rest and a distinctive striving to persevere in being (</w:t>
      </w:r>
      <w:r w:rsidRPr="00AB04D2">
        <w:rPr>
          <w:i/>
        </w:rPr>
        <w:t>conatus</w:t>
      </w:r>
      <w:r w:rsidRPr="00AB04D2">
        <w:t>)</w:t>
      </w:r>
      <w:r w:rsidRPr="00AB04D2">
        <w:rPr>
          <w:i/>
        </w:rPr>
        <w:t xml:space="preserve"> </w:t>
      </w:r>
      <w:r w:rsidRPr="00AB04D2">
        <w:t>(</w:t>
      </w:r>
      <w:smartTag w:uri="urn:schemas-microsoft-com:office:smarttags" w:element="place">
        <w:r w:rsidRPr="00AB04D2">
          <w:t>E</w:t>
        </w:r>
        <w:r w:rsidRPr="00AB04D2">
          <w:rPr>
            <w:i/>
          </w:rPr>
          <w:t xml:space="preserve"> </w:t>
        </w:r>
        <w:r w:rsidRPr="00AB04D2">
          <w:t>IIIp6</w:t>
        </w:r>
      </w:smartTag>
      <w:r w:rsidRPr="00AB04D2">
        <w:t>)</w:t>
      </w:r>
      <w:r w:rsidRPr="00AB04D2">
        <w:rPr>
          <w:i/>
        </w:rPr>
        <w:t>.</w:t>
      </w:r>
      <w:r>
        <w:rPr>
          <w:i/>
        </w:rPr>
        <w:t xml:space="preserve"> </w:t>
      </w:r>
      <w:r w:rsidRPr="00AB04D2">
        <w:t xml:space="preserve">Desire is “the very essence of [a] man” (IIIp9s) and “the desire of each individual differs from the desire of another as much as the nature, </w:t>
      </w:r>
      <w:r w:rsidRPr="00AB04D2">
        <w:rPr>
          <w:i/>
        </w:rPr>
        <w:t xml:space="preserve">or </w:t>
      </w:r>
      <w:r w:rsidRPr="00AB04D2">
        <w:t>essence</w:t>
      </w:r>
      <w:r w:rsidRPr="00AB04D2">
        <w:rPr>
          <w:i/>
        </w:rPr>
        <w:t xml:space="preserve">, </w:t>
      </w:r>
      <w:r w:rsidRPr="00AB04D2">
        <w:t>of the one differs from the other” (IIIp57d).</w:t>
      </w:r>
      <w:r>
        <w:t xml:space="preserve"> </w:t>
      </w:r>
      <w:r w:rsidRPr="00AB04D2">
        <w:t>Spinoza notes the differences in nature between a human and a horse, but also between a drunk and a philosopher (let us not speak of the drunk philosopher, however!).</w:t>
      </w:r>
      <w:r>
        <w:t xml:space="preserve"> </w:t>
      </w:r>
      <w:r w:rsidRPr="00AB04D2">
        <w:t>When distinct desires come into contact with one another, they will “agree” more or less with one another, and thus be more or less productive of ideas that enable us to think and act more powerfully.</w:t>
      </w:r>
      <w:r>
        <w:t xml:space="preserve"> </w:t>
      </w:r>
      <w:r w:rsidRPr="00AB04D2">
        <w:t>Each being – a squirrel, a table, or an astronaut – aims to produce effects that enhance and preserve its nature, such that those with overlapping requirements tend to amplify each other’s power (Cf. Matheron</w:t>
      </w:r>
      <w:r>
        <w:t>,</w:t>
      </w:r>
      <w:r w:rsidRPr="00AB04D2">
        <w:t xml:space="preserve"> 2009).</w:t>
      </w:r>
      <w:r>
        <w:t xml:space="preserve"> </w:t>
      </w:r>
      <w:r w:rsidRPr="00AB04D2">
        <w:t>“Things which are said to agree in nature are understood to agree in power” (IVp32d).</w:t>
      </w:r>
      <w:r>
        <w:t xml:space="preserve"> </w:t>
      </w:r>
      <w:r w:rsidRPr="00AB04D2">
        <w:t>Ade</w:t>
      </w:r>
      <w:r>
        <w:t>quate shelter and heat in Montré</w:t>
      </w:r>
      <w:r w:rsidRPr="00AB04D2">
        <w:t>al during the winter, for example, preserves my being, along with that of my child, cats, electronics, and books.</w:t>
      </w:r>
      <w:r>
        <w:t xml:space="preserve"> </w:t>
      </w:r>
      <w:r w:rsidRPr="00AB04D2">
        <w:t>What maintains our being concurs to various extents.</w:t>
      </w:r>
      <w:r>
        <w:t xml:space="preserve"> </w:t>
      </w:r>
      <w:r w:rsidRPr="00AB04D2">
        <w:t>When Spinoza claims that “only insofar as men live according to the guidance of reason, must they always agree in nature,” he is making two claims: first, humans, by virtue of our humanity, do not always agree in nature; and, second, when we do those things that most preserve and enhance our being, we will also amplify the powers of those who share our needs.</w:t>
      </w:r>
      <w:r>
        <w:t xml:space="preserve"> </w:t>
      </w:r>
    </w:p>
    <w:p w:rsidR="002D463E" w:rsidRDefault="002D463E" w:rsidP="002D463E"/>
    <w:p w:rsidR="002D463E" w:rsidRPr="00AB04D2" w:rsidRDefault="002D463E" w:rsidP="002D463E">
      <w:r w:rsidRPr="00AB04D2">
        <w:t xml:space="preserve">When </w:t>
      </w:r>
      <w:r>
        <w:t>Spinoza</w:t>
      </w:r>
      <w:r w:rsidRPr="00AB04D2">
        <w:t xml:space="preserve"> claims that “the law against killing animals is based more on empty superstition and womanly compassion than sound reason” and urges us to “establish a bond with men, but not with brutes” (</w:t>
      </w:r>
      <w:r>
        <w:t xml:space="preserve">E IVp37s1; </w:t>
      </w:r>
      <w:r w:rsidRPr="00AB04D2">
        <w:t>translation modified),</w:t>
      </w:r>
      <w:r>
        <w:t xml:space="preserve"> </w:t>
      </w:r>
      <w:r w:rsidRPr="00AB04D2">
        <w:t>he worries that feeling with and for nonhuman animals undermines the human bond that enables us to think and act in a way that best preserves and amplifies the distinctive powers of our bodies and minds.</w:t>
      </w:r>
      <w:r>
        <w:t xml:space="preserve"> </w:t>
      </w:r>
      <w:r w:rsidRPr="00AB04D2">
        <w:t>He insists that “they do not agree in nature with us, and their affects are different in nature from human affects,” because he thinks that joining with brutes encourages irrational and “subhuman” behavior.</w:t>
      </w:r>
      <w:r>
        <w:t xml:space="preserve"> </w:t>
      </w:r>
      <w:r w:rsidRPr="00AB04D2">
        <w:t>In fact, as I discuss at much greater length elsewhere</w:t>
      </w:r>
      <w:r>
        <w:t xml:space="preserve"> </w:t>
      </w:r>
      <w:r w:rsidRPr="00AB04D2">
        <w:t>(Sharp</w:t>
      </w:r>
      <w:r>
        <w:t>, 2011:</w:t>
      </w:r>
      <w:r w:rsidRPr="00AB04D2">
        <w:t xml:space="preserve"> Ch. 6), every time Spinoza mentions humans and animals, it is in the context of decrying the desire among some to reject human community in favor of a wild freedom in association with animals.</w:t>
      </w:r>
      <w:r>
        <w:t xml:space="preserve"> </w:t>
      </w:r>
      <w:r w:rsidRPr="00AB04D2">
        <w:t>He despairs at the “satirists” and “melancholics” who “disdain men and admire the brutes” rather than helping their fellow man and “joining forces” against “the dangers which threaten on all sides” (</w:t>
      </w:r>
      <w:smartTag w:uri="urn:schemas-microsoft-com:office:smarttags" w:element="place">
        <w:r w:rsidRPr="00AB04D2">
          <w:t>E IVp35s</w:t>
        </w:r>
      </w:smartTag>
      <w:r w:rsidRPr="00AB04D2">
        <w:t>).</w:t>
      </w:r>
      <w:r>
        <w:t xml:space="preserve"> </w:t>
      </w:r>
      <w:r w:rsidRPr="00AB04D2">
        <w:t>Although Spinoza claims that animal affects are simply different in nature from human affects, he urgently exhorts his readers toward human compassion and away from the animal compassion that he fears will lead us astray from “helping one another.”</w:t>
      </w:r>
      <w:r>
        <w:t xml:space="preserve"> </w:t>
      </w:r>
      <w:r w:rsidRPr="00AB04D2">
        <w:t>Thus, it is not that humans cannot feel with the animals, or that animals do not have feelings, but rather that humans and animals seem to Spinoza to be too close to one another, too similar, and too attractive to one another.</w:t>
      </w:r>
      <w:r>
        <w:t xml:space="preserve"> </w:t>
      </w:r>
      <w:r w:rsidRPr="00AB04D2">
        <w:t>As I argue elsewhere</w:t>
      </w:r>
      <w:r>
        <w:t xml:space="preserve"> </w:t>
      </w:r>
      <w:r w:rsidRPr="00AB04D2">
        <w:t>(Sharp</w:t>
      </w:r>
      <w:r>
        <w:t>, 2011:</w:t>
      </w:r>
      <w:r w:rsidRPr="00AB04D2">
        <w:t xml:space="preserve"> Ch. 6), he worries that human incivil</w:t>
      </w:r>
      <w:r>
        <w:t>ity, greatly in evidence in war-torn seventeenth-</w:t>
      </w:r>
      <w:r w:rsidRPr="00AB04D2">
        <w:t xml:space="preserve">century Europe, will render “a life that is uncultivated and wild” increasingly appealing, </w:t>
      </w:r>
      <w:r>
        <w:t>and prompt “many, from too great</w:t>
      </w:r>
      <w:r w:rsidRPr="00AB04D2">
        <w:t xml:space="preserve"> an impatience of mind…[to prefer] to live among the brutes rather than among men” (E IVappXIII).</w:t>
      </w:r>
      <w:r>
        <w:t xml:space="preserve"> </w:t>
      </w:r>
      <w:r w:rsidRPr="00AB04D2">
        <w:t xml:space="preserve">However justified Spinoza’s paranoid fantasies were of a massive retreat from the labors of building a thriving human community, it is clear that he is concerned to erect a boundary between “man” and “beast” in order to promote a human solidarity that is in no way guaranteed by the </w:t>
      </w:r>
      <w:r>
        <w:t xml:space="preserve">objectively </w:t>
      </w:r>
      <w:r w:rsidRPr="00AB04D2">
        <w:t>shared interests of “human nature.”</w:t>
      </w:r>
      <w:r>
        <w:t xml:space="preserve">    </w:t>
      </w:r>
    </w:p>
    <w:p w:rsidR="002D463E" w:rsidRDefault="002D463E" w:rsidP="002D463E">
      <w:pPr>
        <w:ind w:firstLine="720"/>
      </w:pPr>
      <w:r w:rsidRPr="00AB04D2">
        <w:t xml:space="preserve"> </w:t>
      </w:r>
    </w:p>
    <w:p w:rsidR="002D463E" w:rsidRPr="00AB04D2" w:rsidRDefault="002D463E" w:rsidP="002D463E">
      <w:r w:rsidRPr="00AB04D2">
        <w:t>In particular, the profound fragility of rationality prompts Spinoza</w:t>
      </w:r>
      <w:r>
        <w:t xml:space="preserve"> to erect a pragmatic,</w:t>
      </w:r>
      <w:r w:rsidRPr="00AB04D2">
        <w:t xml:space="preserve"> ethical boundary between humans and animals.</w:t>
      </w:r>
      <w:r>
        <w:t xml:space="preserve"> </w:t>
      </w:r>
      <w:r w:rsidRPr="00AB04D2">
        <w:t>Without “mutual help,” we can neither build an effective human society nor cultivate the powers of our minds and bodies, which are different in character but not in kind from those of other natural beings.</w:t>
      </w:r>
      <w:r>
        <w:t xml:space="preserve"> </w:t>
      </w:r>
      <w:r w:rsidRPr="00AB04D2">
        <w:t>It is the lack of a stable and given human power that makes it especially important to come together and produce those commonalities that might protect us from “the dangers which threaten on all sides” (</w:t>
      </w:r>
      <w:smartTag w:uri="urn:schemas-microsoft-com:office:smarttags" w:element="place">
        <w:r w:rsidRPr="00AB04D2">
          <w:t>E IVp35s</w:t>
        </w:r>
      </w:smartTag>
      <w:r w:rsidRPr="00AB04D2">
        <w:t>).</w:t>
      </w:r>
      <w:r>
        <w:t xml:space="preserve"> </w:t>
      </w:r>
      <w:r w:rsidRPr="00AB04D2">
        <w:t>The irony, of course, is that those dangers are, first of all, one another.</w:t>
      </w:r>
      <w:r>
        <w:t xml:space="preserve"> </w:t>
      </w:r>
      <w:r w:rsidRPr="00AB04D2">
        <w:t xml:space="preserve">If man appeared to Hobbes, in Spinoza’s day, to be a wolf to man, it is due </w:t>
      </w:r>
      <w:r>
        <w:t xml:space="preserve">first and foremost </w:t>
      </w:r>
      <w:r w:rsidRPr="00AB04D2">
        <w:t>to the spiritually inspired wars over the right to represent and honor God’s commands.</w:t>
      </w:r>
      <w:r>
        <w:t xml:space="preserve"> </w:t>
      </w:r>
      <w:r w:rsidRPr="00AB04D2">
        <w:t>For Spinoza, the absence of an invulnerable reservoir of rationality or an infinite power of volition as a universal feature of human being causes him to differentiate between those who, like women, seem unable to command themselves sufficiently to rule or participate in the political process (TP 11.4), and to warn men against identifying with beasts, lest they become them.</w:t>
      </w:r>
      <w:r>
        <w:t xml:space="preserve"> </w:t>
      </w:r>
    </w:p>
    <w:p w:rsidR="002D463E" w:rsidRDefault="002D463E" w:rsidP="002D463E"/>
    <w:p w:rsidR="002D463E" w:rsidRPr="00AB04D2" w:rsidRDefault="002D463E" w:rsidP="002D463E">
      <w:r w:rsidRPr="00AB04D2">
        <w:t>Although, from a Spinozan point of view, humanists are wrong to ground ethics and politics on the absolute difference between “persons” and “things” (cf. Poole</w:t>
      </w:r>
      <w:r>
        <w:t>,</w:t>
      </w:r>
      <w:r w:rsidRPr="00AB04D2">
        <w:t xml:space="preserve"> 1996), the permeability of humanity is precisely what authorizes the domination and exploitation of nonhuman animals.</w:t>
      </w:r>
      <w:r>
        <w:t xml:space="preserve"> </w:t>
      </w:r>
      <w:r w:rsidRPr="00AB04D2">
        <w:t>Spinoza’s example shows that belief in the mutability of humanity and the permeability of the species frontier does not necessarily foster a pro-animal philosophy, and may even inflame anxiety about human affection for “beasts.”</w:t>
      </w:r>
      <w:r>
        <w:t xml:space="preserve"> </w:t>
      </w:r>
      <w:r w:rsidRPr="00AB04D2">
        <w:t>Nevertheless, I will suggest in my conclusion, from within a Spinozan framework, that the proximity of humanity and beastliness can be a source of power and pleasure.</w:t>
      </w:r>
      <w:r>
        <w:t xml:space="preserve"> </w:t>
      </w:r>
      <w:r w:rsidRPr="00AB04D2">
        <w:t>Still, we ought not presume that either the porosity of species boundaries or the resemblance between humans and many nonhuman animals suffices to engender an appreciation of nonhuman life.</w:t>
      </w:r>
      <w:r>
        <w:t xml:space="preserve"> </w:t>
      </w:r>
      <w:r w:rsidRPr="00AB04D2">
        <w:t>Spinoza is but one instance of a thinker for whom this intimacy is first and foremost a cause for concern.</w:t>
      </w:r>
      <w:r>
        <w:t xml:space="preserve"> </w:t>
      </w:r>
      <w:r w:rsidRPr="00AB04D2">
        <w:t>In the following section, I proceed to examine Spinoza’s account of affective contagion between beasts and the first man.</w:t>
      </w:r>
      <w:r>
        <w:t xml:space="preserve"> </w:t>
      </w:r>
      <w:r w:rsidRPr="00AB04D2">
        <w:t xml:space="preserve">I conclude with </w:t>
      </w:r>
      <w:r>
        <w:t>a brief discussion of</w:t>
      </w:r>
      <w:r w:rsidRPr="00AB04D2">
        <w:t xml:space="preserve"> how this principle of contagion and communication </w:t>
      </w:r>
      <w:r>
        <w:t>might</w:t>
      </w:r>
      <w:r w:rsidRPr="00AB04D2">
        <w:t xml:space="preserve"> be affirmed rather than feared, </w:t>
      </w:r>
      <w:r w:rsidRPr="00AB04D2">
        <w:rPr>
          <w:i/>
        </w:rPr>
        <w:t>pace</w:t>
      </w:r>
      <w:r w:rsidRPr="00AB04D2">
        <w:t xml:space="preserve"> Spinoza.</w:t>
      </w:r>
    </w:p>
    <w:p w:rsidR="002D463E" w:rsidRPr="00AB04D2" w:rsidRDefault="002D463E" w:rsidP="002D463E"/>
    <w:p w:rsidR="002D463E" w:rsidRPr="00AB04D2" w:rsidRDefault="002D463E" w:rsidP="00E35253">
      <w:pPr>
        <w:pStyle w:val="Heading3"/>
      </w:pPr>
      <w:r w:rsidRPr="00AB04D2">
        <w:t>Animal affects (and) the first man</w:t>
      </w:r>
      <w:r w:rsidRPr="00AB04D2">
        <w:rPr>
          <w:rStyle w:val="FootnoteReference"/>
          <w:b w:val="0"/>
        </w:rPr>
        <w:footnoteReference w:id="19"/>
      </w:r>
    </w:p>
    <w:p w:rsidR="002D463E" w:rsidRDefault="002D463E" w:rsidP="002D463E"/>
    <w:p w:rsidR="002D463E" w:rsidRPr="00AB04D2" w:rsidRDefault="002D463E" w:rsidP="002D463E">
      <w:r w:rsidRPr="00AB04D2">
        <w:t>A parable for the human condition, the story of the expulsion from the garden of Eden is, of course, one of the most discussed stories in the Jewish and Christian traditions.</w:t>
      </w:r>
      <w:r>
        <w:t xml:space="preserve"> </w:t>
      </w:r>
      <w:r w:rsidRPr="00AB04D2">
        <w:t>It gives voice to a notion of human self-consciousness as that paradoxical grasp of ourselves as perfect and close to God, but also weak and alienated from the natural world.</w:t>
      </w:r>
      <w:r>
        <w:t xml:space="preserve"> </w:t>
      </w:r>
      <w:r w:rsidRPr="00AB04D2">
        <w:t>What dualism attributes to the difference between our spiritual and our corporeal natures, the Fall portrays in temporal terms.</w:t>
      </w:r>
      <w:r>
        <w:t xml:space="preserve"> </w:t>
      </w:r>
      <w:r w:rsidRPr="00AB04D2">
        <w:t>Our sense of immortality, infinite intelligence, and uniqueness is a primordial memory, which, by virtue of an original sin, was lost and through which we were condemned to be, in the words of Augustine, “mortal, ignorant, and enslaved to the flesh” (1993 [387-389], 105).</w:t>
      </w:r>
      <w:r>
        <w:t xml:space="preserve"> </w:t>
      </w:r>
      <w:r w:rsidRPr="00AB04D2">
        <w:t>To scan the history of philosophy and theology for interpretations of the story is to find innumerable accounts of what human perfection consists in, and what precipitates its loss.</w:t>
      </w:r>
      <w:r>
        <w:t xml:space="preserve"> </w:t>
      </w:r>
      <w:r w:rsidRPr="00AB04D2">
        <w:t>For Maimonides, an example surely well-known to Spinoza, Adam’s original perfection was his flawless intellectual grasp of truth and falsity, which, by virtue of an appetitive eruption, devolved into the lesser, practical knowledge of good and evil (1995 [12</w:t>
      </w:r>
      <w:r w:rsidRPr="00AB04D2">
        <w:rPr>
          <w:vertAlign w:val="superscript"/>
        </w:rPr>
        <w:t>th</w:t>
      </w:r>
      <w:r w:rsidRPr="00AB04D2">
        <w:t xml:space="preserve"> century], Bk. I, </w:t>
      </w:r>
      <w:smartTag w:uri="urn:schemas-microsoft-com:office:smarttags" w:element="place">
        <w:smartTag w:uri="urn:schemas-microsoft-com:office:smarttags" w:element="country-region">
          <w:r w:rsidRPr="00AB04D2">
            <w:t>Ch.</w:t>
          </w:r>
        </w:smartTag>
      </w:smartTag>
      <w:r w:rsidRPr="00AB04D2">
        <w:t xml:space="preserve"> 2).</w:t>
      </w:r>
      <w:r>
        <w:t xml:space="preserve"> </w:t>
      </w:r>
      <w:r w:rsidRPr="00AB04D2">
        <w:t>In contrast, as Nancy Levene points out, for Augustine prelapsarian perfection consists in a perfect will, which is imperfectly exercised by the first man (2006, 9).</w:t>
      </w:r>
      <w:r>
        <w:t xml:space="preserve"> </w:t>
      </w:r>
      <w:r w:rsidRPr="00AB04D2">
        <w:t>Original sin is then the paradoxical necessity of the entirely uncoerced will, which, in its total indetermination, can choose evil as easily as good.</w:t>
      </w:r>
      <w:r>
        <w:t xml:space="preserve"> </w:t>
      </w:r>
      <w:r w:rsidRPr="00AB04D2">
        <w:t xml:space="preserve"> </w:t>
      </w:r>
    </w:p>
    <w:p w:rsidR="002D463E" w:rsidRDefault="002D463E" w:rsidP="002D463E"/>
    <w:p w:rsidR="002D463E" w:rsidRPr="00AB04D2" w:rsidRDefault="002D463E" w:rsidP="002D463E">
      <w:r w:rsidRPr="00AB04D2">
        <w:t>Spinoza invokes the</w:t>
      </w:r>
      <w:r>
        <w:t xml:space="preserve"> above</w:t>
      </w:r>
      <w:r w:rsidRPr="00AB04D2">
        <w:t xml:space="preserve"> story a number of times to illustrate aspects of the human condition (</w:t>
      </w:r>
      <w:smartTag w:uri="urn:schemas-microsoft-com:office:smarttags" w:element="place">
        <w:r w:rsidRPr="00AB04D2">
          <w:t>E IVp68s</w:t>
        </w:r>
      </w:smartTag>
      <w:r w:rsidRPr="00AB04D2">
        <w:t>, TTP, 2.14, 4.9-11, TP, 2,14).</w:t>
      </w:r>
      <w:r>
        <w:t xml:space="preserve"> </w:t>
      </w:r>
      <w:r w:rsidRPr="00AB04D2">
        <w:t>Spinoza thereby participates in the tradition of treating Adam as an archetype of human existence, and puts his characteristic naturalist spin on the well-known tale.</w:t>
      </w:r>
      <w:r>
        <w:t xml:space="preserve"> </w:t>
      </w:r>
      <w:r w:rsidRPr="00AB04D2">
        <w:t>Adam serves, especially, as an example of our limitations, with which we must come to terms if we are to optimize our natural powers.</w:t>
      </w:r>
      <w:r>
        <w:t xml:space="preserve"> </w:t>
      </w:r>
      <w:r w:rsidRPr="00AB04D2">
        <w:t xml:space="preserve">Spinoza retells a rather peculiar version of the story in the </w:t>
      </w:r>
      <w:r w:rsidRPr="00AB04D2">
        <w:rPr>
          <w:i/>
        </w:rPr>
        <w:t xml:space="preserve">Ethics, </w:t>
      </w:r>
      <w:r w:rsidRPr="00AB04D2">
        <w:t>in which Adam’s imitation of the affects of beasts precipitates the Fall.</w:t>
      </w:r>
      <w:r>
        <w:t xml:space="preserve"> </w:t>
      </w:r>
      <w:r w:rsidRPr="00AB04D2">
        <w:t>In contrast to other philosophical glosses on the story, Spinoza’s Adam is not originally perfect in either intellect or will.</w:t>
      </w:r>
      <w:r>
        <w:t xml:space="preserve"> </w:t>
      </w:r>
      <w:r w:rsidRPr="00AB04D2">
        <w:t>He is, in mind and body, “like us…subject to affects” (TP 2.6).</w:t>
      </w:r>
      <w:r>
        <w:t xml:space="preserve"> </w:t>
      </w:r>
      <w:r w:rsidRPr="00AB04D2">
        <w:t xml:space="preserve">Although she barely appears in this retelling, the only intimation of perfection in </w:t>
      </w:r>
      <w:smartTag w:uri="urn:schemas-microsoft-com:office:smarttags" w:element="City">
        <w:smartTag w:uri="urn:schemas-microsoft-com:office:smarttags" w:element="place">
          <w:r w:rsidRPr="00AB04D2">
            <w:t>Eden</w:t>
          </w:r>
        </w:smartTag>
      </w:smartTag>
      <w:r w:rsidRPr="00AB04D2">
        <w:t xml:space="preserve"> is the “wife, who ag</w:t>
      </w:r>
      <w:r>
        <w:t>reed completely with [Adam’s]</w:t>
      </w:r>
      <w:r w:rsidRPr="00AB04D2">
        <w:t xml:space="preserve"> nature.”</w:t>
      </w:r>
      <w:r>
        <w:t xml:space="preserve"> </w:t>
      </w:r>
      <w:r w:rsidRPr="00AB04D2">
        <w:t>What was perfect, on Spinoza’s account, was not a particular human faculty or power, but the seamless suitability of the human pair, the fact that “there could be nothing in Nature more useful to him than she.”</w:t>
      </w:r>
      <w:r>
        <w:t xml:space="preserve"> </w:t>
      </w:r>
      <w:r w:rsidRPr="00AB04D2">
        <w:t>Yet Adam forsook the perfect communion (</w:t>
      </w:r>
      <w:r w:rsidRPr="00AB04D2">
        <w:rPr>
          <w:i/>
        </w:rPr>
        <w:t>convenientia</w:t>
      </w:r>
      <w:r w:rsidRPr="00AB04D2">
        <w:t>) he might have enjoyed with Eve “after he believed the beasts to be like himself” and “began to imitate their affects” (</w:t>
      </w:r>
      <w:smartTag w:uri="urn:schemas-microsoft-com:office:smarttags" w:element="place">
        <w:r w:rsidRPr="00AB04D2">
          <w:t>E IVp68s</w:t>
        </w:r>
      </w:smartTag>
      <w:r w:rsidRPr="00AB04D2">
        <w:t>).</w:t>
      </w:r>
      <w:r>
        <w:t xml:space="preserve"> </w:t>
      </w:r>
    </w:p>
    <w:p w:rsidR="002D463E" w:rsidRDefault="002D463E" w:rsidP="002D463E"/>
    <w:p w:rsidR="002D463E" w:rsidRPr="00AB04D2" w:rsidRDefault="002D463E" w:rsidP="002D463E">
      <w:r w:rsidRPr="00AB04D2">
        <w:t>The lesson of paradise lost, on Spinoza’s naturalized rendition, is that the perfection of our power can only be had in the human bond.</w:t>
      </w:r>
      <w:r>
        <w:t xml:space="preserve"> </w:t>
      </w:r>
      <w:r w:rsidRPr="00AB04D2">
        <w:t>Spinoza’s account of “the fall,” we will see, reveals that even if he is sharply critical of the philosophical pillars maintaining human</w:t>
      </w:r>
      <w:r w:rsidRPr="00AB04D2">
        <w:rPr>
          <w:i/>
        </w:rPr>
        <w:t>ism</w:t>
      </w:r>
      <w:r w:rsidRPr="00AB04D2">
        <w:t xml:space="preserve">, he in no way advocates a turn away from humans. </w:t>
      </w:r>
      <w:r>
        <w:t>On the contrary, although</w:t>
      </w:r>
      <w:r w:rsidRPr="00AB04D2">
        <w:t xml:space="preserve"> Spinoza staunchly denies human exceptionalism, he urges us to seek human unity above all else.</w:t>
      </w:r>
      <w:r>
        <w:t xml:space="preserve"> </w:t>
      </w:r>
    </w:p>
    <w:p w:rsidR="002D463E" w:rsidRDefault="002D463E" w:rsidP="002D463E"/>
    <w:p w:rsidR="002D463E" w:rsidRPr="00AB04D2" w:rsidRDefault="002D463E" w:rsidP="002D463E">
      <w:r w:rsidRPr="00AB04D2">
        <w:t>Let us consider more closely his account of “the first man.”</w:t>
      </w:r>
      <w:r>
        <w:t xml:space="preserve"> </w:t>
      </w:r>
    </w:p>
    <w:p w:rsidR="002D463E" w:rsidRDefault="002D463E" w:rsidP="002D463E">
      <w:pPr>
        <w:ind w:left="720"/>
      </w:pPr>
      <w:r w:rsidRPr="00AB04D2">
        <w:t>And so we are told that God prohibited a free man from eating of the tree of knowledge of good and evil, and that as soon as he should eat of it, he would immediately fear death, rather than desiring to live. Then, man having found a mate who completely agreed with his nature, he knew that there could be nothing in Nature more useful to him than she; but that, believing that the beasts were similar to him (</w:t>
      </w:r>
      <w:r w:rsidRPr="00AB04D2">
        <w:rPr>
          <w:i/>
        </w:rPr>
        <w:t>bruta sibi similia esse credidit</w:t>
      </w:r>
      <w:r w:rsidRPr="00AB04D2">
        <w:t>), he soon began to imitate their affects (see</w:t>
      </w:r>
      <w:r w:rsidRPr="00AB04D2">
        <w:rPr>
          <w:i/>
        </w:rPr>
        <w:t xml:space="preserve"> </w:t>
      </w:r>
      <w:r w:rsidRPr="00AB04D2">
        <w:t>IIIp27) and allowed his freedom to escape.</w:t>
      </w:r>
      <w:r>
        <w:t xml:space="preserve"> (</w:t>
      </w:r>
      <w:smartTag w:uri="urn:schemas-microsoft-com:office:smarttags" w:element="place">
        <w:r>
          <w:t>E IVp68s</w:t>
        </w:r>
      </w:smartTag>
      <w:r>
        <w:t>)</w:t>
      </w:r>
    </w:p>
    <w:p w:rsidR="002D463E" w:rsidRPr="00AB04D2" w:rsidRDefault="002D463E" w:rsidP="002D463E">
      <w:pPr>
        <w:ind w:left="720"/>
      </w:pPr>
    </w:p>
    <w:p w:rsidR="002D463E" w:rsidRPr="00AB04D2" w:rsidRDefault="002D463E" w:rsidP="002D463E">
      <w:r w:rsidRPr="00AB04D2">
        <w:t>An unusual version of the story in which neither Eve nor a deceitful animal seems to do anything, Adam loses his freedom by virtue of a belief in his similarity to nonhuman animals, which prompts him to incorporate brutish affects.</w:t>
      </w:r>
      <w:r>
        <w:t xml:space="preserve"> </w:t>
      </w:r>
      <w:r w:rsidRPr="00AB04D2">
        <w:t xml:space="preserve">The “social psychology” of the </w:t>
      </w:r>
      <w:r w:rsidRPr="00AB04D2">
        <w:rPr>
          <w:i/>
        </w:rPr>
        <w:t xml:space="preserve">Ethics </w:t>
      </w:r>
      <w:r w:rsidRPr="00AB04D2">
        <w:t>describes an involuntary circulation of affect among those beings we imagine to be similar to us (IIIp</w:t>
      </w:r>
      <w:r>
        <w:t>27): we feel what those who appear</w:t>
      </w:r>
      <w:r w:rsidRPr="00AB04D2">
        <w:t xml:space="preserve"> to be similar to us seem to be feeling.</w:t>
      </w:r>
      <w:r>
        <w:t xml:space="preserve"> There is a lot of room </w:t>
      </w:r>
      <w:r w:rsidRPr="00AB04D2">
        <w:t>in terms of who or what is similar to us.</w:t>
      </w:r>
      <w:r>
        <w:t xml:space="preserve"> </w:t>
      </w:r>
      <w:r w:rsidRPr="00AB04D2">
        <w:t>Since it is an involuntary form of corporeal communication, I take Spinoza to be implying that we cannot but feel something similar to those around us in a crowd of people cheering exuberantly for their favorite foot</w:t>
      </w:r>
      <w:r>
        <w:t>ball team (even if one, like this</w:t>
      </w:r>
      <w:r w:rsidRPr="00AB04D2">
        <w:t xml:space="preserve"> author, does not especially enjoy sports), but that we may not feel anything like what a bird feels when a flock of pigeons suddenly takes off toward a near roof-top (which is not to say that we do not feel anything upon noticing the coordinated flight of a bunch of feathered creatures).</w:t>
      </w:r>
      <w:r>
        <w:t xml:space="preserve"> </w:t>
      </w:r>
      <w:r w:rsidRPr="00AB04D2">
        <w:t>Yet, Adam felt with and like the neighboring beasts in the garden, which shows that nothing prevents us from communicating affectively with nonhuman beings</w:t>
      </w:r>
      <w:r>
        <w:t xml:space="preserve"> –</w:t>
      </w:r>
      <w:r w:rsidRPr="00AB04D2">
        <w:t xml:space="preserve"> beings that, Spinoza maintains, have a “different nature” from ours.</w:t>
      </w:r>
      <w:r>
        <w:t xml:space="preserve"> </w:t>
      </w:r>
      <w:r w:rsidRPr="00AB04D2">
        <w:t>Whatever difference of nature exists between human and bestial bodies, it is not so profound that we are not susceptible to genuine transformations provoked by animal affect.</w:t>
      </w:r>
      <w:r>
        <w:t xml:space="preserve"> </w:t>
      </w:r>
      <w:r w:rsidRPr="00AB04D2">
        <w:t>Indeed, in this case, the contagion of animal affects explains what is traditionally represented as a dramatic transmogrification of human existence that accounts for pain, evil, shame, and the need for morality, among other things.</w:t>
      </w:r>
      <w:r>
        <w:t xml:space="preserve"> </w:t>
      </w:r>
      <w:r w:rsidRPr="00AB04D2">
        <w:t>The communication of affects between Adam and the beasts marks the dawn of at least one narrative of human genesis and history.</w:t>
      </w:r>
      <w:r>
        <w:t xml:space="preserve"> </w:t>
      </w:r>
      <w:r w:rsidRPr="00AB04D2">
        <w:t xml:space="preserve">That is, on Spinoza’s undeveloped account, involuntary communication with animal affects </w:t>
      </w:r>
      <w:r>
        <w:t>marks</w:t>
      </w:r>
      <w:r w:rsidRPr="00AB04D2">
        <w:t xml:space="preserve"> something important about the human condition itself.</w:t>
      </w:r>
      <w:r>
        <w:t xml:space="preserve"> </w:t>
      </w:r>
      <w:r w:rsidRPr="00AB04D2">
        <w:t xml:space="preserve"> </w:t>
      </w:r>
    </w:p>
    <w:p w:rsidR="002D463E" w:rsidRDefault="002D463E" w:rsidP="002D463E"/>
    <w:p w:rsidR="002D463E" w:rsidRPr="00AB04D2" w:rsidRDefault="002D463E" w:rsidP="002D463E">
      <w:r w:rsidRPr="00AB04D2">
        <w:t>As we observed above, humans do not enjoy a natural accord by virtue of our shared humanity.</w:t>
      </w:r>
      <w:r>
        <w:t xml:space="preserve"> </w:t>
      </w:r>
      <w:r w:rsidRPr="00AB04D2">
        <w:t>“Men can disagree in nature insofar as they are torn by</w:t>
      </w:r>
      <w:r>
        <w:t xml:space="preserve"> </w:t>
      </w:r>
      <w:r w:rsidRPr="00AB04D2">
        <w:t>… passions” (</w:t>
      </w:r>
      <w:smartTag w:uri="urn:schemas-microsoft-com:office:smarttags" w:element="place">
        <w:r w:rsidRPr="00AB04D2">
          <w:t>E IVp33</w:t>
        </w:r>
      </w:smartTag>
      <w:r w:rsidRPr="00AB04D2">
        <w:t>).</w:t>
      </w:r>
      <w:r>
        <w:t xml:space="preserve"> </w:t>
      </w:r>
      <w:r w:rsidRPr="00AB04D2">
        <w:t>Yet, insofar as two beings agree in power, they agree in nature (</w:t>
      </w:r>
      <w:smartTag w:uri="urn:schemas-microsoft-com:office:smarttags" w:element="place">
        <w:r w:rsidRPr="00AB04D2">
          <w:t>E IVp32d</w:t>
        </w:r>
      </w:smartTag>
      <w:r w:rsidRPr="00AB04D2">
        <w:t>).</w:t>
      </w:r>
      <w:r>
        <w:t xml:space="preserve"> </w:t>
      </w:r>
      <w:r w:rsidRPr="00AB04D2">
        <w:t xml:space="preserve">Spinoza uses the word </w:t>
      </w:r>
      <w:r w:rsidRPr="00AB04D2">
        <w:rPr>
          <w:i/>
        </w:rPr>
        <w:t xml:space="preserve">convenientia </w:t>
      </w:r>
      <w:r w:rsidRPr="00AB04D2">
        <w:t xml:space="preserve">(from </w:t>
      </w:r>
      <w:r w:rsidRPr="00AB04D2">
        <w:rPr>
          <w:i/>
        </w:rPr>
        <w:t>convenio</w:t>
      </w:r>
      <w:r w:rsidRPr="00AB04D2">
        <w:t>) to indicate agreement, which implies a coming together rather than an identity.</w:t>
      </w:r>
      <w:r>
        <w:t xml:space="preserve"> </w:t>
      </w:r>
      <w:r w:rsidRPr="00AB04D2">
        <w:t>In contrast, when two natures do not accord with one another, they decompose one another’s power.</w:t>
      </w:r>
      <w:r>
        <w:t xml:space="preserve"> </w:t>
      </w:r>
      <w:r w:rsidRPr="00AB04D2">
        <w:t>Warren Montag, in his reading of this passage, therefore suggests that “the inhuman” names for Spinoza all that threatens to decompose our power (Montag 2009), which is not safeguarded by stable species boundaries.</w:t>
      </w:r>
      <w:r>
        <w:t xml:space="preserve"> </w:t>
      </w:r>
      <w:r w:rsidRPr="00AB04D2">
        <w:t>It is, I suggest, the lack of ontologically grounded difference between man and beast that arouses Spinoza’s concern about human-animal compassion and companionship.</w:t>
      </w:r>
      <w:r>
        <w:t xml:space="preserve"> </w:t>
      </w:r>
      <w:r w:rsidRPr="00AB04D2">
        <w:t>His claim about the incompatibility between our natures signals his concern that human agency is utterly fragile and that our attraction to nonhuman animals somehow threatens it.</w:t>
      </w:r>
      <w:r>
        <w:t xml:space="preserve"> </w:t>
      </w:r>
      <w:r w:rsidRPr="00AB04D2">
        <w:t>Why would Spinoza think that the human tendency to emulate animals is so great that he must regularly assert our difference from animals, a difference he has otherwise been at great pains to attenuate?</w:t>
      </w:r>
    </w:p>
    <w:p w:rsidR="002D463E" w:rsidRDefault="002D463E" w:rsidP="002D463E"/>
    <w:p w:rsidR="002D463E" w:rsidRPr="00AB04D2" w:rsidRDefault="002D463E" w:rsidP="002D463E">
      <w:r w:rsidRPr="00AB04D2">
        <w:t>In the story of the garden of Eden, at least, we can observe that Adam had before him in the garden another human whose nature (essence) agreed perfectly with his own.</w:t>
      </w:r>
      <w:r>
        <w:t xml:space="preserve"> </w:t>
      </w:r>
      <w:r w:rsidRPr="00AB04D2">
        <w:t>Adam and Eve might have joined minds and bodies to engender great joy and lively ideas, and thereby enhance their perfection and agency.</w:t>
      </w:r>
      <w:r>
        <w:t xml:space="preserve"> </w:t>
      </w:r>
      <w:r w:rsidRPr="00AB04D2">
        <w:t>Had he turned toward Eve rather than undergoing the affects of beasts, Adam might have enjoyed the freedom that emerges when “two individuals of entirely the same nature are joined to one another,” composing “an individual twice as powerful as each one” (</w:t>
      </w:r>
      <w:smartTag w:uri="urn:schemas-microsoft-com:office:smarttags" w:element="place">
        <w:r>
          <w:t xml:space="preserve">E </w:t>
        </w:r>
        <w:r w:rsidRPr="00AB04D2">
          <w:t>IVp18s</w:t>
        </w:r>
      </w:smartTag>
      <w:r w:rsidRPr="00AB04D2">
        <w:t>).</w:t>
      </w:r>
      <w:r>
        <w:t xml:space="preserve"> </w:t>
      </w:r>
      <w:r w:rsidRPr="00AB04D2">
        <w:t>There was no other being in the garden with which he could have combined powers to better effect; nothing could have increased his power more than she.</w:t>
      </w:r>
      <w:r>
        <w:t xml:space="preserve"> </w:t>
      </w:r>
      <w:r w:rsidRPr="00AB04D2">
        <w:t>Yet, despite the fact that he “knew that there could be nothing in nature more useful to him than she,” his feeling of kinship with the beasts disrupted the human bond that might have allowed him to live, like philosophers and gods, beyond good and evil (Ep 19).</w:t>
      </w:r>
      <w:r>
        <w:t xml:space="preserve"> </w:t>
      </w:r>
    </w:p>
    <w:p w:rsidR="002D463E" w:rsidRDefault="002D463E" w:rsidP="002D463E"/>
    <w:p w:rsidR="002D463E" w:rsidRDefault="002D463E" w:rsidP="002D463E">
      <w:r w:rsidRPr="00AB04D2">
        <w:t>Spinoza’s odd recapitulation of the Fall follows the proposition that reads, “If men were born free, they would form no concept of good and evil so long as they remain free.”</w:t>
      </w:r>
      <w:r>
        <w:t xml:space="preserve"> </w:t>
      </w:r>
      <w:r w:rsidRPr="00AB04D2">
        <w:t>The counterfactual in the proposition suggests that Spinoza does not, like other interpreters of the story, maintain that Adam was originally free, equipped with perfect knowledge.</w:t>
      </w:r>
      <w:r>
        <w:t xml:space="preserve"> </w:t>
      </w:r>
      <w:r w:rsidRPr="00AB04D2">
        <w:t>Indeed, he begins his account of the Fall elsewhere as follows:</w:t>
      </w:r>
    </w:p>
    <w:p w:rsidR="009C250F" w:rsidRPr="00AB04D2" w:rsidRDefault="009C250F" w:rsidP="002D463E"/>
    <w:p w:rsidR="002D463E" w:rsidRDefault="002D463E" w:rsidP="001B399E">
      <w:pPr>
        <w:ind w:left="720" w:right="936"/>
      </w:pPr>
      <w:r w:rsidRPr="00AB04D2">
        <w:t>Yet most people believe that the ignorant violate the order of Nature rather than conform to it; they think of men in Nature as a dominion within a dominion.</w:t>
      </w:r>
      <w:r>
        <w:t xml:space="preserve"> </w:t>
      </w:r>
      <w:r w:rsidRPr="00AB04D2">
        <w:t>They hold that the human mind is not produced by natural causes but is directly created by God and is so independent of other things that it has an absolute power [</w:t>
      </w:r>
      <w:r w:rsidRPr="00AB04D2">
        <w:rPr>
          <w:i/>
        </w:rPr>
        <w:t>potestatem</w:t>
      </w:r>
      <w:r w:rsidRPr="00AB04D2">
        <w:t xml:space="preserve">] to determine itself and use reason in a correct way. </w:t>
      </w:r>
      <w:r>
        <w:t>(TP 2.6)</w:t>
      </w:r>
    </w:p>
    <w:p w:rsidR="002D463E" w:rsidRPr="00AB04D2" w:rsidRDefault="002D463E" w:rsidP="002D463E">
      <w:pPr>
        <w:ind w:left="720"/>
      </w:pPr>
    </w:p>
    <w:p w:rsidR="002D463E" w:rsidRDefault="002D463E" w:rsidP="002D463E">
      <w:r w:rsidRPr="00AB04D2">
        <w:t>Spinoza proceeds to meditate again on the Fall and concludes that “it must be admitted that it was not in the power of the first man to use reason aright, and that, like us, he was subject to affects” (TP 2.6).</w:t>
      </w:r>
      <w:r>
        <w:t xml:space="preserve"> </w:t>
      </w:r>
      <w:r w:rsidRPr="00AB04D2">
        <w:t>Adam shows us that, originally and irreducibly, the human condition is one of “intellectual vulnerability” (Ravven</w:t>
      </w:r>
      <w:r>
        <w:t>,</w:t>
      </w:r>
      <w:r w:rsidRPr="00AB04D2">
        <w:t xml:space="preserve"> 2001</w:t>
      </w:r>
      <w:r>
        <w:t>:</w:t>
      </w:r>
      <w:r w:rsidRPr="00AB04D2">
        <w:t xml:space="preserve"> 29).</w:t>
      </w:r>
      <w:r>
        <w:t xml:space="preserve"> </w:t>
      </w:r>
      <w:r w:rsidRPr="00AB04D2">
        <w:t>Our minds are vulnerable, moreover, not because they are entwined with our bodies, but because they are “produced by natural causes.”</w:t>
      </w:r>
      <w:r>
        <w:t xml:space="preserve"> </w:t>
      </w:r>
      <w:r w:rsidRPr="00AB04D2">
        <w:t>Minds, no less than bodies, are bound in a community of cause and effect, necessarily affecting and affected by ambient forces, including nonhuman ones, like beasts.</w:t>
      </w:r>
    </w:p>
    <w:p w:rsidR="002D463E" w:rsidRPr="00AB04D2" w:rsidRDefault="002D463E" w:rsidP="002D463E"/>
    <w:p w:rsidR="002D463E" w:rsidRDefault="002D463E" w:rsidP="002D463E">
      <w:r w:rsidRPr="00AB04D2">
        <w:t>Neither Adam nor any of us is born free and omniscient.</w:t>
      </w:r>
      <w:r>
        <w:t xml:space="preserve"> </w:t>
      </w:r>
      <w:r w:rsidRPr="00AB04D2">
        <w:t>Spinoza takes “as a foundation what everyone must acknowledge: that all men are born ignorant of causes” (</w:t>
      </w:r>
      <w:smartTag w:uri="urn:schemas-microsoft-com:office:smarttags" w:element="place">
        <w:r w:rsidRPr="00AB04D2">
          <w:t>E Iapp</w:t>
        </w:r>
      </w:smartTag>
      <w:r w:rsidRPr="00AB04D2">
        <w:t>).</w:t>
      </w:r>
      <w:r>
        <w:t xml:space="preserve"> </w:t>
      </w:r>
      <w:r w:rsidRPr="00AB04D2">
        <w:t>As a result, we are compelled to look to a “model [</w:t>
      </w:r>
      <w:r w:rsidRPr="00AB04D2">
        <w:rPr>
          <w:i/>
        </w:rPr>
        <w:t>exemplar</w:t>
      </w:r>
      <w:r w:rsidRPr="00AB04D2">
        <w:t>] of human nature” and to form concepts of good and evil relative to this model.</w:t>
      </w:r>
      <w:r>
        <w:t xml:space="preserve"> </w:t>
      </w:r>
      <w:r w:rsidRPr="00AB04D2">
        <w:t>“I shall understand by good what we know certainly is a means by which we may approach nearer and nearer to the model of human nature we set before ourselves,” and by evil “what we certainly know prevents us from becoming like that model” (E IVpref).</w:t>
      </w:r>
      <w:r>
        <w:t xml:space="preserve"> </w:t>
      </w:r>
      <w:r w:rsidRPr="00AB04D2">
        <w:t>Thus, like Maimonides and unlike many in the Christian tradition, knowledge of good and evil is not an index of our perfection.</w:t>
      </w:r>
      <w:r>
        <w:t xml:space="preserve"> </w:t>
      </w:r>
      <w:r w:rsidRPr="00AB04D2">
        <w:t>Shlomo Pines thus remarks that, for Spinoza and Maimonides, Adam did not illicitly taste knowledge of good and evil and thus receive punishment lest he become too powerful “like God,” but that knowledge of good and evil, being an inferior mode of knowing, is itself the punishment for transgression (Pines</w:t>
      </w:r>
      <w:r>
        <w:t>,</w:t>
      </w:r>
      <w:r w:rsidRPr="00AB04D2">
        <w:t xml:space="preserve"> 1983</w:t>
      </w:r>
      <w:r>
        <w:t>:</w:t>
      </w:r>
      <w:r w:rsidRPr="00AB04D2">
        <w:t xml:space="preserve"> 149)!</w:t>
      </w:r>
      <w:r>
        <w:t xml:space="preserve"> </w:t>
      </w:r>
      <w:r w:rsidRPr="00AB04D2">
        <w:t>Although I think it is not quite right to assert that knowledge of good and evil follows from the affective imitation, since, on Spinoza’s telling, I think that Adam knew what was good – “he knew that there could be nothing in Nature” better for him that Eve – but his knowledge was overwhelmed by his feeling of similitude with respect to the animals.</w:t>
      </w:r>
      <w:r>
        <w:t xml:space="preserve"> </w:t>
      </w:r>
      <w:r w:rsidRPr="00AB04D2">
        <w:t>Pines is astute</w:t>
      </w:r>
      <w:r>
        <w:t xml:space="preserve"> to note</w:t>
      </w:r>
      <w:r w:rsidRPr="00AB04D2">
        <w:t xml:space="preserve">, however, that moral knowledge is </w:t>
      </w:r>
      <w:r>
        <w:t>a</w:t>
      </w:r>
      <w:r w:rsidRPr="00AB04D2">
        <w:t xml:space="preserve"> consequence of our finitude </w:t>
      </w:r>
      <w:r>
        <w:t>according to</w:t>
      </w:r>
      <w:r w:rsidRPr="00AB04D2">
        <w:t xml:space="preserve"> Spinoza.</w:t>
      </w:r>
      <w:r>
        <w:t xml:space="preserve"> </w:t>
      </w:r>
      <w:r w:rsidRPr="00AB04D2">
        <w:t>The human condition forces us to calculate the relative virtues of good and evil in a given situation to remain viable.</w:t>
      </w:r>
      <w:r>
        <w:t xml:space="preserve"> </w:t>
      </w:r>
      <w:r w:rsidRPr="00AB04D2">
        <w:t>Moreover, to have a moral sensibility means that we must, like Adam, act without awareness of what our decisions will yield.</w:t>
      </w:r>
      <w:r>
        <w:t xml:space="preserve"> </w:t>
      </w:r>
      <w:r w:rsidRPr="00AB04D2">
        <w:t>We reach out for the means of becoming more powerful, or we find ourselves attracted to what appear to be sources of vitality and pleasure – “So when the woman saw the tree was good for food, and that it was a delight to the eyes…” (</w:t>
      </w:r>
      <w:r w:rsidRPr="00AB04D2">
        <w:rPr>
          <w:i/>
        </w:rPr>
        <w:t xml:space="preserve">Genesis </w:t>
      </w:r>
      <w:r w:rsidRPr="00AB04D2">
        <w:t>3:6)</w:t>
      </w:r>
      <w:r w:rsidRPr="00AB04D2">
        <w:rPr>
          <w:rStyle w:val="FootnoteReference"/>
        </w:rPr>
        <w:footnoteReference w:id="20"/>
      </w:r>
      <w:r w:rsidRPr="00AB04D2">
        <w:t xml:space="preserve"> – but there is never any guarantee that these ambient agencies will amplify our capacities, let alone in the ways anticipated.</w:t>
      </w:r>
      <w:r>
        <w:t xml:space="preserve"> </w:t>
      </w:r>
    </w:p>
    <w:p w:rsidR="002D463E" w:rsidRPr="00AB04D2" w:rsidRDefault="002D463E" w:rsidP="002D463E"/>
    <w:p w:rsidR="002D463E" w:rsidRDefault="002D463E" w:rsidP="002D463E">
      <w:r w:rsidRPr="00AB04D2">
        <w:t>Whether Spinoza tells the story as a decomposition provoked by toxic fruit or the affects of beasts, the Fall is a story of a finite, imperfect being, undermined by a disabling relationship.</w:t>
      </w:r>
      <w:r>
        <w:t xml:space="preserve"> </w:t>
      </w:r>
      <w:r w:rsidRPr="00AB04D2">
        <w:t>Adam loses freedom (power) because he does not know what kind of being he is, in multiple respects.</w:t>
      </w:r>
      <w:r>
        <w:t xml:space="preserve"> </w:t>
      </w:r>
      <w:r w:rsidRPr="00AB04D2">
        <w:t>Adam exhibits what might be cal</w:t>
      </w:r>
      <w:r>
        <w:t>led the “humanist problem”: Adam</w:t>
      </w:r>
      <w:r w:rsidRPr="00AB04D2">
        <w:t xml:space="preserve"> believes that he is different in kind from other beings, elevated out of nature, unaffected by the sensual and affective operation of cause and effect.</w:t>
      </w:r>
      <w:r>
        <w:t xml:space="preserve"> </w:t>
      </w:r>
      <w:r w:rsidRPr="00AB04D2">
        <w:t xml:space="preserve">That is, he does not adequately appreciate that he is a part of nature, and therefore profoundly affected by his involvements with others, </w:t>
      </w:r>
      <w:r>
        <w:t xml:space="preserve">both </w:t>
      </w:r>
      <w:r w:rsidRPr="00AB04D2">
        <w:t>human and nonhuman.</w:t>
      </w:r>
      <w:r>
        <w:t xml:space="preserve"> </w:t>
      </w:r>
      <w:r w:rsidRPr="00AB04D2">
        <w:t>The abstraction of the garden of Eden allows one to see a man in relationship to some of the greatest influences on his freedom and power: God/ nature, woman, and beast.</w:t>
      </w:r>
      <w:r>
        <w:t xml:space="preserve"> </w:t>
      </w:r>
      <w:r w:rsidRPr="00AB04D2">
        <w:t>These impact his power the most because they are potent features of his imaginary life, and fantasy matters.</w:t>
      </w:r>
      <w:r>
        <w:t xml:space="preserve"> </w:t>
      </w:r>
      <w:r w:rsidRPr="00AB04D2">
        <w:t>A lot.</w:t>
      </w:r>
      <w:r>
        <w:t xml:space="preserve"> </w:t>
      </w:r>
      <w:r w:rsidRPr="00AB04D2">
        <w:t>With Adam’s tale, we observe the human tendency to imagine God as a legislator, his human mate as a danger rather than a helper, and beasts as worthy of emulation.</w:t>
      </w:r>
      <w:r>
        <w:t xml:space="preserve"> </w:t>
      </w:r>
      <w:r w:rsidRPr="00AB04D2">
        <w:t>Spinoza thinks that we go astray when we dream that we are God ruling over nature, or evade human solidarity, or imagine ourselves as beasts, for we estrange ourselves from those to whom we are, in actuality, most similar.</w:t>
      </w:r>
      <w:r>
        <w:t xml:space="preserve"> </w:t>
      </w:r>
    </w:p>
    <w:p w:rsidR="002D463E" w:rsidRPr="00AB04D2" w:rsidRDefault="002D463E" w:rsidP="002D463E"/>
    <w:p w:rsidR="002D463E" w:rsidRPr="00AB04D2" w:rsidRDefault="002D463E" w:rsidP="002D463E">
      <w:r w:rsidRPr="00AB04D2">
        <w:t>The tragedy of the Fall is a tragedy Spinoza observes everyday:</w:t>
      </w:r>
      <w:r>
        <w:t xml:space="preserve"> </w:t>
      </w:r>
      <w:r w:rsidRPr="00AB04D2">
        <w:t>it is the failure to regard the human bond as the most essential source of power and freedom.</w:t>
      </w:r>
      <w:r>
        <w:t xml:space="preserve"> </w:t>
      </w:r>
      <w:r w:rsidRPr="00AB04D2">
        <w:t>His entire philosophical project urges us to see in one another the greatest source of strength rather than predation (“man is a wolf to man”) or deceit (“beware the sirens’ song”).</w:t>
      </w:r>
      <w:r>
        <w:t xml:space="preserve"> </w:t>
      </w:r>
      <w:r w:rsidRPr="00AB04D2">
        <w:t>At least one moral of the story is that, despite his denial of a universal feature of humanity supplied by Cartesian rationality and will, Spinoza urges an ethical an</w:t>
      </w:r>
      <w:r>
        <w:t>d</w:t>
      </w:r>
      <w:r w:rsidRPr="00AB04D2">
        <w:t xml:space="preserve"> political identification with fellow humans.</w:t>
      </w:r>
      <w:r>
        <w:t xml:space="preserve"> </w:t>
      </w:r>
      <w:r w:rsidRPr="00AB04D2">
        <w:t>Spinoza refers to our “desire to form an idea of man, as a model of human nature to which we may look,” and thereby warns us against striving to be other than we are.</w:t>
      </w:r>
      <w:r>
        <w:t xml:space="preserve"> </w:t>
      </w:r>
      <w:r w:rsidRPr="00AB04D2">
        <w:t>He notes that “a horse is destroyed as much if it is changed into a man as if it is changed into an insect” (</w:t>
      </w:r>
      <w:smartTag w:uri="urn:schemas-microsoft-com:office:smarttags" w:element="place">
        <w:r w:rsidRPr="00AB04D2">
          <w:t>E IVpref</w:t>
        </w:r>
      </w:smartTag>
      <w:r w:rsidRPr="00AB04D2">
        <w:t>) to remind us that no being is liberated by transcending its nature.</w:t>
      </w:r>
      <w:r w:rsidRPr="00AB04D2">
        <w:rPr>
          <w:rStyle w:val="FootnoteReference"/>
        </w:rPr>
        <w:footnoteReference w:id="21"/>
      </w:r>
      <w:r>
        <w:t xml:space="preserve"> </w:t>
      </w:r>
      <w:r w:rsidRPr="00AB04D2">
        <w:t>To become as free and powerful as we can hope to become, Spinoza maintains that “it is necessary to come to know both our nature’s power and its lack of power” (IVp17s).</w:t>
      </w:r>
      <w:r>
        <w:t xml:space="preserve"> </w:t>
      </w:r>
      <w:r w:rsidRPr="00AB04D2">
        <w:t>Adam, our archetype, reminds us that we will never enjoy a mind “so independent of other things that it has absolute power to determine itself and use reason in a correct way.”</w:t>
      </w:r>
      <w:r>
        <w:t xml:space="preserve"> </w:t>
      </w:r>
      <w:r w:rsidRPr="00AB04D2">
        <w:t>Indeed, “it is no more in our power to have a sound mind than a sound body” (TP 2.6).</w:t>
      </w:r>
      <w:r>
        <w:t xml:space="preserve"> </w:t>
      </w:r>
      <w:r w:rsidRPr="00AB04D2">
        <w:t>Yet Adam’s story is not such a tragic story, since the portal to freedom has not been closed.</w:t>
      </w:r>
      <w:r>
        <w:t xml:space="preserve"> </w:t>
      </w:r>
      <w:r w:rsidRPr="00AB04D2">
        <w:t>He, and perhaps we</w:t>
      </w:r>
      <w:r>
        <w:t>,</w:t>
      </w:r>
      <w:r w:rsidRPr="00AB04D2">
        <w:t xml:space="preserve"> need, first and foremost, to overcome our estrangement from Eve to amplify our powers.</w:t>
      </w:r>
      <w:r>
        <w:t xml:space="preserve"> </w:t>
      </w:r>
      <w:r w:rsidRPr="00AB04D2">
        <w:t>Yet, as finite beings, we will never cease feeling torn in different directions – toward and away from our fellow human beings – because we are still part of nature, mutating in response to our surroundings.</w:t>
      </w:r>
      <w:r>
        <w:t xml:space="preserve"> </w:t>
      </w:r>
      <w:r w:rsidRPr="00AB04D2">
        <w:t>Sometimes it is not so surprising that we might prefer beast to man.</w:t>
      </w:r>
      <w:r>
        <w:t xml:space="preserve"> </w:t>
      </w:r>
      <w:r w:rsidRPr="00AB04D2">
        <w:t xml:space="preserve"> </w:t>
      </w:r>
    </w:p>
    <w:p w:rsidR="002D463E" w:rsidRDefault="002D463E" w:rsidP="002D463E"/>
    <w:p w:rsidR="002D463E" w:rsidRPr="00AB04D2" w:rsidRDefault="002D463E" w:rsidP="002D463E">
      <w:r w:rsidRPr="00AB04D2">
        <w:t>Spinoza’s philosophical naturalism seeks to portray singular beings, especially “men,” as he says many times, as they are, and not as we would like them to be.</w:t>
      </w:r>
      <w:r>
        <w:t xml:space="preserve"> </w:t>
      </w:r>
      <w:r w:rsidRPr="00AB04D2">
        <w:t>But we cannot avoid erecting exemplars, or models, that give shape to our projected futures and the life we hope to build.</w:t>
      </w:r>
      <w:r>
        <w:t xml:space="preserve"> </w:t>
      </w:r>
      <w:r w:rsidRPr="00AB04D2">
        <w:t>Spinoza’s suspicion toward universal categories like species notwithstanding, he maintains the need for provisional boundaries to our idea of “humanity.”</w:t>
      </w:r>
      <w:r>
        <w:t xml:space="preserve"> </w:t>
      </w:r>
      <w:r w:rsidRPr="00AB04D2">
        <w:t>He urges us to think of ourselves in a way that excludes other kinds of beings and warns against allowing our fantasies of other kinds of beings to govern our guiding fiction, the human ideal.</w:t>
      </w:r>
      <w:r>
        <w:t xml:space="preserve"> </w:t>
      </w:r>
      <w:r w:rsidRPr="00AB04D2">
        <w:t xml:space="preserve">Spinoza’s story of the fall suggests that Adam suffered because his self-ideal allowed him to blur himself with </w:t>
      </w:r>
      <w:r>
        <w:t>beasts</w:t>
      </w:r>
      <w:r w:rsidRPr="00AB04D2">
        <w:t xml:space="preserve"> and alienated him</w:t>
      </w:r>
      <w:r>
        <w:t>self</w:t>
      </w:r>
      <w:r w:rsidRPr="00AB04D2">
        <w:t xml:space="preserve"> from Eve.</w:t>
      </w:r>
      <w:r>
        <w:t xml:space="preserve"> </w:t>
      </w:r>
      <w:r w:rsidRPr="00AB04D2">
        <w:t>Despite Spinoza’s insistence elsewhere that women are naturally inferior to men (TP 11.4), it is significant that sexual difference does not diminish the perfect agreement between Adam and Eve.</w:t>
      </w:r>
      <w:r w:rsidRPr="004D63FB">
        <w:t xml:space="preserve"> </w:t>
      </w:r>
      <w:r w:rsidRPr="00AB04D2">
        <w:t>We might even detect, in the story about Adam’s mistaken identification with beasts, an obscure consciousness on Spinoza’s part of the barrier posed to human community by (male perception of) sexual difference.</w:t>
      </w:r>
      <w:r>
        <w:t xml:space="preserve"> </w:t>
      </w:r>
      <w:r w:rsidRPr="00AB04D2">
        <w:t>If Adam had been perfectly free, he would have acted on his clear and distinct perception of the perfect agreement between his body and Eve’s.</w:t>
      </w:r>
      <w:r>
        <w:t xml:space="preserve"> </w:t>
      </w:r>
      <w:r w:rsidRPr="00AB04D2">
        <w:t>Moreover, he would not have done so because he viewed himself and her to be equally human, equally worthy of personhood, but because he perceived their distinctive natures to be perfectly compatible with one another.</w:t>
      </w:r>
      <w:r>
        <w:t xml:space="preserve"> </w:t>
      </w:r>
      <w:r w:rsidRPr="00AB04D2">
        <w:t>Without perfect awareness of which bodies best agree with ours, Spinoza thinks we can lay down a general maxim that agency is most fortified by human community and friendship.</w:t>
      </w:r>
      <w:r>
        <w:t xml:space="preserve"> </w:t>
      </w:r>
      <w:r w:rsidRPr="00AB04D2">
        <w:t>Adam’s exemplarity reveals that, first and foremost, humans need compatible partners to enhance their minds and bodies.</w:t>
      </w:r>
      <w:r>
        <w:t xml:space="preserve"> </w:t>
      </w:r>
      <w:r w:rsidRPr="00AB04D2">
        <w:t>Moreover, in contrast to the Aristophanic ambition, Spinoza urges us to join ourselves to as many partners as possible.</w:t>
      </w:r>
      <w:r>
        <w:t xml:space="preserve"> </w:t>
      </w:r>
      <w:r w:rsidRPr="00AB04D2">
        <w:t>An enabling exemplar of humanity shows that paradise is regained when we “so agree in all things that the minds and bodies of all would compose, as it were, one mind and one body” and men “want nothing for themselves which they do not desire for other men” (</w:t>
      </w:r>
      <w:smartTag w:uri="urn:schemas-microsoft-com:office:smarttags" w:element="place">
        <w:r w:rsidRPr="00AB04D2">
          <w:t>E IVp18s</w:t>
        </w:r>
      </w:smartTag>
      <w:r w:rsidRPr="00AB04D2">
        <w:t>; cf. IVp68s, the conclusion of the parable of the Fall).</w:t>
      </w:r>
      <w:r>
        <w:t xml:space="preserve">  </w:t>
      </w:r>
      <w:r w:rsidRPr="00AB04D2">
        <w:t xml:space="preserve"> </w:t>
      </w:r>
    </w:p>
    <w:p w:rsidR="002D463E" w:rsidRPr="00AB04D2" w:rsidRDefault="002D463E" w:rsidP="002D463E">
      <w:pPr>
        <w:rPr>
          <w:b/>
        </w:rPr>
      </w:pPr>
    </w:p>
    <w:p w:rsidR="002D463E" w:rsidRPr="00AB04D2" w:rsidRDefault="002D463E" w:rsidP="00E35253">
      <w:pPr>
        <w:pStyle w:val="Heading3"/>
      </w:pPr>
      <w:r w:rsidRPr="00AB04D2">
        <w:t>Spinoza contra Spinoza</w:t>
      </w:r>
    </w:p>
    <w:p w:rsidR="002D463E" w:rsidRDefault="002D463E" w:rsidP="002D463E"/>
    <w:p w:rsidR="002D463E" w:rsidRPr="00AB04D2" w:rsidRDefault="002D463E" w:rsidP="002D463E">
      <w:r w:rsidRPr="00AB04D2">
        <w:t>Spinoza invokes the adage “man is a God to man” to rebut Hobbes’s suggestion that humans have an irreducible lupine tendency that political organization must suppress, precariously and constantly.</w:t>
      </w:r>
      <w:r>
        <w:t xml:space="preserve"> </w:t>
      </w:r>
      <w:r w:rsidRPr="00AB04D2">
        <w:t>For Hobbes, one must not forget that “man is a wolf to man,” even if the sword can maintain godly relations among citizens (1998 [1642], epistle dedicatory).</w:t>
      </w:r>
      <w:r>
        <w:t xml:space="preserve"> </w:t>
      </w:r>
      <w:r w:rsidRPr="00AB04D2">
        <w:t>Humans can be political animals, but this possibility, for Hobbes, must be produced and then vigilantly maintained by the state’s monopoly on violence.</w:t>
      </w:r>
      <w:r>
        <w:t xml:space="preserve"> Although I lack space</w:t>
      </w:r>
      <w:r w:rsidRPr="00AB04D2">
        <w:t xml:space="preserve"> to justify this claim now, Hobbes’s example points to the possibility that an image of man as beast can motivate self-negation rather than the affirmation of our affinities with animals.</w:t>
      </w:r>
      <w:r>
        <w:t xml:space="preserve"> </w:t>
      </w:r>
      <w:r w:rsidRPr="00AB04D2">
        <w:t>Moreover, Spinoza may be thinking of Hobbes when he suggests that the perpetual fear of our fellow man as predator bars the discovery of those who might be standing beside us, in perfect agreement with our natures.</w:t>
      </w:r>
      <w:r>
        <w:t xml:space="preserve"> </w:t>
      </w:r>
      <w:r w:rsidRPr="00AB04D2">
        <w:t>In Hobbes’ state of nature, the threat of the (imagined) wolf eclipses Eve, and arouses the admittedly present human susceptibility to imitate the affects of the ferocious and overly self-protective guardian and tear one another apart.</w:t>
      </w:r>
      <w:r>
        <w:t xml:space="preserve"> </w:t>
      </w:r>
      <w:r w:rsidRPr="00AB04D2">
        <w:t>Of course, in reality, wolves are much more peaceful toward their own kind than many humans, but these philosophers play with the image of the animal-man as the figure of aggression and bloodlust.</w:t>
      </w:r>
    </w:p>
    <w:p w:rsidR="002D463E" w:rsidRDefault="002D463E" w:rsidP="002D463E"/>
    <w:p w:rsidR="002D463E" w:rsidRPr="00AB04D2" w:rsidRDefault="002D463E" w:rsidP="002D463E">
      <w:r w:rsidRPr="00AB04D2">
        <w:t>The threat of the animal-man is real in a certain sense, since Spinoza’s naturalization of humanity is such that neither language nor volition nor reason distinguishes him finally from beasts.</w:t>
      </w:r>
      <w:r>
        <w:t xml:space="preserve"> </w:t>
      </w:r>
      <w:r w:rsidRPr="00AB04D2">
        <w:t>Thus, Spinoza may be even more vulnerable to the accusation, so often hurled at Hobbes by his contemporaries, of animalizing man (</w:t>
      </w:r>
      <w:r>
        <w:t xml:space="preserve">cf. </w:t>
      </w:r>
      <w:r w:rsidRPr="00AB04D2">
        <w:t>Ashcraft</w:t>
      </w:r>
      <w:r>
        <w:t>,</w:t>
      </w:r>
      <w:r w:rsidRPr="00AB04D2">
        <w:t xml:space="preserve"> 1971).</w:t>
      </w:r>
      <w:r>
        <w:t xml:space="preserve"> </w:t>
      </w:r>
      <w:r w:rsidRPr="00AB04D2">
        <w:t>There is no clear boundary between species and no definite moment of anthropogenesis for Spinoza.</w:t>
      </w:r>
      <w:r>
        <w:t xml:space="preserve"> </w:t>
      </w:r>
      <w:r w:rsidRPr="00AB04D2">
        <w:t>Thus he inserts boundaries based on his preconceptions about what kinds of associations are best able to secure our power to think and act, in a world in which we cannot but be affected by the affects of beings like and unlike us.</w:t>
      </w:r>
      <w:r>
        <w:t xml:space="preserve"> </w:t>
      </w:r>
    </w:p>
    <w:p w:rsidR="002D463E" w:rsidRDefault="002D463E" w:rsidP="002D463E"/>
    <w:p w:rsidR="002D463E" w:rsidRDefault="002D463E" w:rsidP="002D463E">
      <w:r w:rsidRPr="00AB04D2">
        <w:t>If Spinoza’s concern, however, was human finitude and the fragility of our thinking power, subject always to passions, he overlooked the enabling possibilities of beastly affective contagion.</w:t>
      </w:r>
      <w:r>
        <w:t xml:space="preserve"> </w:t>
      </w:r>
      <w:r w:rsidRPr="00AB04D2">
        <w:t>Thinkers such as Deleuze and Haraway suggest</w:t>
      </w:r>
      <w:r>
        <w:t xml:space="preserve"> that </w:t>
      </w:r>
      <w:r w:rsidRPr="00AB04D2">
        <w:t xml:space="preserve">an exclusionary paradigm of humanity that exiles dogs, plants, and robots from our sphere of primary concern may be a self-negation not unlike the one Spinoza worries about in his retelling of </w:t>
      </w:r>
      <w:r w:rsidRPr="00AB04D2">
        <w:rPr>
          <w:i/>
        </w:rPr>
        <w:t>Genesis.</w:t>
      </w:r>
      <w:r>
        <w:rPr>
          <w:i/>
        </w:rPr>
        <w:t xml:space="preserve"> </w:t>
      </w:r>
      <w:r w:rsidRPr="00AB04D2">
        <w:t>Denying our affinities with animals may be a separation of ourselves from our own power, just as Adam’s denial of his affinity with Eve cost him a powerful possibility for solidarity and communion.</w:t>
      </w:r>
      <w:r>
        <w:t xml:space="preserve"> </w:t>
      </w:r>
      <w:r w:rsidRPr="00AB04D2">
        <w:t>Posthumanist thinkers suggest that by disavowing that we only are who we are by virtue of the bacteria, nematodes, pace-makers, affections and labors of companion animals, and so many other involvements with nonhumans, we mutilate ourselves and the vital forces in our midst.</w:t>
      </w:r>
      <w:r>
        <w:t xml:space="preserve"> </w:t>
      </w:r>
      <w:r w:rsidRPr="00AB04D2">
        <w:t>It seems hard to deny that, just as Adam was weakened by forgetting his need for Eve, we are diminished if we disregard our need for animal affection.</w:t>
      </w:r>
      <w:r>
        <w:t xml:space="preserve"> </w:t>
      </w:r>
      <w:r w:rsidRPr="00AB04D2">
        <w:t>There is clear evidence that our minds no less than our bodies are enabled by relationships with nonhuman animals.</w:t>
      </w:r>
      <w:r>
        <w:t xml:space="preserve"> </w:t>
      </w:r>
      <w:r w:rsidRPr="00AB04D2">
        <w:t>We are rendered powerful not just by instrumentalizing them as food or test subjects for pharmaceuticals, but by simple attentive co-presence, or companionship.</w:t>
      </w:r>
      <w:r>
        <w:t xml:space="preserve"> </w:t>
      </w:r>
      <w:r w:rsidRPr="00AB04D2">
        <w:t>Alzheimer’s patients, for example, show improved memory upon friendly interaction with cats or dogs (Hines and Frederickson</w:t>
      </w:r>
      <w:r>
        <w:t>,</w:t>
      </w:r>
      <w:r w:rsidRPr="00AB04D2">
        <w:t xml:space="preserve"> 1997).</w:t>
      </w:r>
      <w:r>
        <w:t xml:space="preserve"> </w:t>
      </w:r>
      <w:r w:rsidRPr="00AB04D2">
        <w:t>Likewise, research reveals a “cardiovascular benefit” for males with dogs (perhaps Adam had a heart defect?).</w:t>
      </w:r>
      <w:r>
        <w:t xml:space="preserve"> </w:t>
      </w:r>
      <w:r w:rsidRPr="00AB04D2">
        <w:t>Children who have difficulty reading can be helped significantly by a canine audience, and mere pet presence improves arithmetic calculations, something Spinoza would surely appreciate (Garrity and Stallones</w:t>
      </w:r>
      <w:r>
        <w:t>,</w:t>
      </w:r>
      <w:r w:rsidRPr="00AB04D2">
        <w:t xml:space="preserve"> 1997).</w:t>
      </w:r>
      <w:r>
        <w:t xml:space="preserve"> </w:t>
      </w:r>
      <w:r w:rsidRPr="00AB04D2">
        <w:t>Although Spinoza does not offer  reasons to proscribe human interest in favor of animal flourishing</w:t>
      </w:r>
      <w:r>
        <w:t xml:space="preserve"> (as Genevieve Lloyd argues)</w:t>
      </w:r>
      <w:r w:rsidRPr="00AB04D2">
        <w:t>, his conception of agency as an effect of our involvement with ambient powers should furnish an appreciation of the many enabling aspects of the involuntary affective community between humans and animals.</w:t>
      </w:r>
      <w:r>
        <w:t xml:space="preserve"> </w:t>
      </w:r>
      <w:r w:rsidRPr="00AB04D2">
        <w:t>Indeed, in our epoch, it may be a sign of progress that young people are tempted to imagine romance with werewolves.</w:t>
      </w:r>
    </w:p>
    <w:p w:rsidR="002D463E" w:rsidRPr="00AB04D2" w:rsidRDefault="002D463E" w:rsidP="002D463E"/>
    <w:p w:rsidR="002D463E" w:rsidRDefault="002D463E" w:rsidP="002D463E">
      <w:r w:rsidRPr="00AB04D2">
        <w:t>In this article, I have sought to make three points.</w:t>
      </w:r>
      <w:r>
        <w:t xml:space="preserve"> First, Spinoza’s cas</w:t>
      </w:r>
      <w:r w:rsidRPr="00AB04D2">
        <w:t>e suggests that the early modern tendency to assert a rigid species boundary may not be a result of a mechanistic worldview that ceases to see nonhuman beings as part of a (hierarchically ordered) cosmic whole in which we are all embedded.</w:t>
      </w:r>
      <w:r>
        <w:t xml:space="preserve"> Rather, mechanism, for </w:t>
      </w:r>
      <w:r w:rsidRPr="00AB04D2">
        <w:t>Hobbes, Spinoza, and a number of philosophers influenced by their naturalism and materialism, can imply an increased proximity among humans and animals.</w:t>
      </w:r>
      <w:r>
        <w:t xml:space="preserve"> </w:t>
      </w:r>
      <w:r w:rsidRPr="00AB04D2">
        <w:t>This proximity, along with the permeability and plasticity of human nature suggested by early modern naturalists, threatens the distinctiveness of humanity.</w:t>
      </w:r>
      <w:r>
        <w:t xml:space="preserve"> </w:t>
      </w:r>
      <w:r w:rsidRPr="00AB04D2">
        <w:t>Indeed, the lack of metaphysical frontiers is precisely why Spinoza and others regularly insist on the difference between humans and animals.</w:t>
      </w:r>
      <w:r>
        <w:t xml:space="preserve"> </w:t>
      </w:r>
      <w:r w:rsidRPr="00AB04D2">
        <w:t>Thus, those who aim to defend animals by highlighting our similarities might take heed of the fact that humans have been historically threatened by these affinities, such that they seek to deny rather than acknowledge the aims and needs of nonhuman life.</w:t>
      </w:r>
      <w:r>
        <w:t xml:space="preserve"> </w:t>
      </w:r>
    </w:p>
    <w:p w:rsidR="002D463E" w:rsidRPr="00AB04D2" w:rsidRDefault="002D463E" w:rsidP="002D463E"/>
    <w:p w:rsidR="002D463E" w:rsidRPr="00AB04D2" w:rsidRDefault="002D463E" w:rsidP="002D463E">
      <w:r w:rsidRPr="00AB04D2">
        <w:t>Second, my interpretation of Spinoza is meant to show that he was not so much anxious to preserve a sense of human superiority over nonhuman nature (cf. E Iapp), but rather to affirm the human bond and its power to nourish our minds and bodies.</w:t>
      </w:r>
      <w:r>
        <w:t xml:space="preserve"> </w:t>
      </w:r>
      <w:r w:rsidRPr="00AB04D2">
        <w:t>For Spinoza, arguing on behalf of animals sounds like a threat to human solidarity.</w:t>
      </w:r>
      <w:r>
        <w:t xml:space="preserve"> </w:t>
      </w:r>
      <w:r w:rsidRPr="00AB04D2">
        <w:t>This feeling of the threat posed by compassion for beasts may or may not have been paranoid, but the difficulty of producing durable forms of human solidarity was certainly palpable in his day, as it is in ours, albeit in different ways.</w:t>
      </w:r>
      <w:r>
        <w:t xml:space="preserve"> </w:t>
      </w:r>
      <w:r w:rsidRPr="00AB04D2">
        <w:t>I suspect similar fears are in evidence when people react so passionately to demands to curb our exploitation of animals.</w:t>
      </w:r>
      <w:r>
        <w:t xml:space="preserve"> </w:t>
      </w:r>
      <w:r w:rsidRPr="00AB04D2">
        <w:t>As someone who is horrified by our treatment of nonhuman animals, I seek to understand and respond constructively to the incredulity and fear provoked by animal activism.</w:t>
      </w:r>
      <w:r>
        <w:t xml:space="preserve"> </w:t>
      </w:r>
      <w:r w:rsidRPr="00AB04D2">
        <w:t xml:space="preserve">Perhaps it will help to take into account the way that compassion for animals is </w:t>
      </w:r>
      <w:r>
        <w:t>felt by many</w:t>
      </w:r>
      <w:r w:rsidRPr="00AB04D2">
        <w:t xml:space="preserve"> as </w:t>
      </w:r>
      <w:r>
        <w:t xml:space="preserve">a </w:t>
      </w:r>
      <w:r w:rsidRPr="00AB04D2">
        <w:t>rejection of humanity.</w:t>
      </w:r>
      <w:r>
        <w:t xml:space="preserve"> </w:t>
      </w:r>
    </w:p>
    <w:p w:rsidR="002D463E" w:rsidRDefault="002D463E" w:rsidP="002D463E"/>
    <w:p w:rsidR="009C250F" w:rsidRDefault="002D463E" w:rsidP="002D463E">
      <w:r w:rsidRPr="00AB04D2">
        <w:t>Finally, I argued that</w:t>
      </w:r>
      <w:r>
        <w:t>,</w:t>
      </w:r>
      <w:r w:rsidRPr="00AB04D2">
        <w:t xml:space="preserve"> by denying the affective community we share with nonhuman animals</w:t>
      </w:r>
      <w:r>
        <w:t>,</w:t>
      </w:r>
      <w:r w:rsidRPr="00AB04D2">
        <w:t xml:space="preserve"> Spinoza overlooks the joyful and enabling features of our proximity to them.</w:t>
      </w:r>
      <w:r>
        <w:t xml:space="preserve"> </w:t>
      </w:r>
      <w:r w:rsidRPr="00AB04D2">
        <w:t>As many of us have occasion to experience the uplift and pleasure of simply being near nonhuman animals, we might seek to better appreciate the mysterious and involuntary corporeal communication that contributes so positively to the quality of our lives and</w:t>
      </w:r>
      <w:r>
        <w:t xml:space="preserve"> to</w:t>
      </w:r>
      <w:r w:rsidRPr="00AB04D2">
        <w:t xml:space="preserve"> those of our animal companions.</w:t>
      </w:r>
      <w:r>
        <w:t xml:space="preserve"> </w:t>
      </w:r>
      <w:r w:rsidRPr="00AB04D2">
        <w:t>Although some animal rights activists oppose pet “ownership,” and it can certainly take many ugly forms, I doubt our anthropocentric psychology has even begun to glimpse the urgent affinity children feel with animals or the thrill a dog feels within her human pack.</w:t>
      </w:r>
      <w:r>
        <w:t xml:space="preserve"> </w:t>
      </w:r>
      <w:r w:rsidRPr="00AB04D2">
        <w:t>We long for even the most subtle contact with nonhuman animals, and the delight is only a hint of what we might be able to enjoy if we came increasingly to see their th</w:t>
      </w:r>
      <w:r>
        <w:t>riving and happiness as a condition</w:t>
      </w:r>
      <w:r w:rsidRPr="00AB04D2">
        <w:t xml:space="preserve"> of our own.</w:t>
      </w:r>
      <w:r>
        <w:t xml:space="preserve"> </w:t>
      </w:r>
    </w:p>
    <w:p w:rsidR="009C250F" w:rsidRDefault="009C250F" w:rsidP="002D463E">
      <w:pPr>
        <w:rPr>
          <w:b/>
        </w:rPr>
      </w:pPr>
    </w:p>
    <w:p w:rsidR="002D463E" w:rsidRPr="007B4815" w:rsidRDefault="009C250F" w:rsidP="00E35253">
      <w:pPr>
        <w:pStyle w:val="Heading3"/>
      </w:pPr>
      <w:r>
        <w:t>References</w:t>
      </w:r>
    </w:p>
    <w:p w:rsidR="002D463E" w:rsidRPr="007B4815" w:rsidRDefault="002D463E" w:rsidP="002D463E"/>
    <w:p w:rsidR="002D463E" w:rsidRPr="007B4815" w:rsidRDefault="002D463E" w:rsidP="009C250F">
      <w:pPr>
        <w:pStyle w:val="References"/>
      </w:pPr>
      <w:r w:rsidRPr="007B4815">
        <w:t>“Animal Rights.” (accessed 3 February, 2011) &lt;</w:t>
      </w:r>
      <w:hyperlink r:id="rId27" w:history="1">
        <w:r w:rsidRPr="007B4815">
          <w:rPr>
            <w:rStyle w:val="Hyperlink"/>
          </w:rPr>
          <w:t>http://en.wikipedia.org/wiki/Animal_rights</w:t>
        </w:r>
      </w:hyperlink>
      <w:r w:rsidRPr="007B4815">
        <w:t>&gt;.</w:t>
      </w:r>
    </w:p>
    <w:p w:rsidR="002D463E" w:rsidRPr="007B4815" w:rsidRDefault="002D463E" w:rsidP="009C250F">
      <w:pPr>
        <w:pStyle w:val="References"/>
      </w:pPr>
    </w:p>
    <w:p w:rsidR="002D463E" w:rsidRPr="007B4815" w:rsidRDefault="002D463E" w:rsidP="009C250F">
      <w:pPr>
        <w:pStyle w:val="References"/>
      </w:pPr>
      <w:r w:rsidRPr="007B4815">
        <w:t>Ashcraft, R. (1971)</w:t>
      </w:r>
      <w:r>
        <w:t>,</w:t>
      </w:r>
      <w:r w:rsidRPr="007B4815">
        <w:t xml:space="preserve"> “Hobbes’ Natural Man: A Study in Ideology”</w:t>
      </w:r>
      <w:r>
        <w:t>,</w:t>
      </w:r>
      <w:r w:rsidRPr="007B4815">
        <w:t xml:space="preserve"> </w:t>
      </w:r>
      <w:r w:rsidRPr="007B4815">
        <w:rPr>
          <w:i/>
        </w:rPr>
        <w:t>Journal of Politics</w:t>
      </w:r>
      <w:r>
        <w:rPr>
          <w:i/>
        </w:rPr>
        <w:t>,</w:t>
      </w:r>
      <w:r w:rsidRPr="007B4815">
        <w:rPr>
          <w:i/>
        </w:rPr>
        <w:t xml:space="preserve"> </w:t>
      </w:r>
      <w:r w:rsidRPr="007B4815">
        <w:t>33</w:t>
      </w:r>
      <w:r>
        <w:t>,</w:t>
      </w:r>
      <w:r w:rsidRPr="007B4815">
        <w:t xml:space="preserve"> </w:t>
      </w:r>
      <w:r w:rsidR="009C250F">
        <w:t xml:space="preserve">pp. </w:t>
      </w:r>
      <w:r w:rsidRPr="007B4815">
        <w:t>1076-1117.</w:t>
      </w:r>
    </w:p>
    <w:p w:rsidR="002D463E" w:rsidRPr="007B4815" w:rsidRDefault="002D463E" w:rsidP="009C250F">
      <w:pPr>
        <w:pStyle w:val="References"/>
      </w:pPr>
    </w:p>
    <w:p w:rsidR="002D463E" w:rsidRPr="007B4815" w:rsidRDefault="002D463E" w:rsidP="009C250F">
      <w:pPr>
        <w:pStyle w:val="References"/>
      </w:pPr>
      <w:r w:rsidRPr="007B4815">
        <w:t>Augustine.</w:t>
      </w:r>
      <w:r>
        <w:t>,</w:t>
      </w:r>
      <w:r w:rsidRPr="007B4815">
        <w:t xml:space="preserve"> (1993 [387-389])</w:t>
      </w:r>
      <w:r>
        <w:t>,</w:t>
      </w:r>
      <w:r w:rsidRPr="007B4815">
        <w:t xml:space="preserve"> </w:t>
      </w:r>
      <w:r w:rsidRPr="007B4815">
        <w:rPr>
          <w:i/>
        </w:rPr>
        <w:t>On Free Choice of the Will</w:t>
      </w:r>
      <w:r>
        <w:rPr>
          <w:i/>
        </w:rPr>
        <w:t>,</w:t>
      </w:r>
      <w:r w:rsidRPr="007B4815">
        <w:rPr>
          <w:i/>
        </w:rPr>
        <w:t xml:space="preserve"> </w:t>
      </w:r>
      <w:r>
        <w:t>Williams, T. (trans),</w:t>
      </w:r>
      <w:r w:rsidRPr="007B4815">
        <w:t xml:space="preserve"> </w:t>
      </w:r>
      <w:smartTag w:uri="urn:schemas-microsoft-com:office:smarttags" w:element="place">
        <w:smartTag w:uri="urn:schemas-microsoft-com:office:smarttags" w:element="City">
          <w:r w:rsidRPr="007B4815">
            <w:t>Indianapolis</w:t>
          </w:r>
        </w:smartTag>
      </w:smartTag>
      <w:r w:rsidRPr="007B4815">
        <w:t>: Hackett.</w:t>
      </w:r>
    </w:p>
    <w:p w:rsidR="002D463E" w:rsidRPr="007B4815" w:rsidRDefault="002D463E" w:rsidP="009C250F">
      <w:pPr>
        <w:pStyle w:val="References"/>
      </w:pPr>
    </w:p>
    <w:p w:rsidR="002D463E" w:rsidRPr="009C250F" w:rsidRDefault="002D463E" w:rsidP="009C250F">
      <w:pPr>
        <w:pStyle w:val="References"/>
        <w:rPr>
          <w:lang w:val="de-DE"/>
        </w:rPr>
      </w:pPr>
      <w:r w:rsidRPr="009C250F">
        <w:rPr>
          <w:lang w:val="de-DE"/>
        </w:rPr>
        <w:t xml:space="preserve">Berman, D., (1982), “Spinoza’s Spiders, Schopenhauer’s Dogs”, </w:t>
      </w:r>
      <w:r w:rsidRPr="009C250F">
        <w:rPr>
          <w:i/>
          <w:lang w:val="de-DE"/>
        </w:rPr>
        <w:t xml:space="preserve">Philosophical Studies, </w:t>
      </w:r>
      <w:r w:rsidRPr="009C250F">
        <w:rPr>
          <w:lang w:val="de-DE"/>
        </w:rPr>
        <w:t xml:space="preserve">29, </w:t>
      </w:r>
      <w:r w:rsidR="009C250F" w:rsidRPr="009C250F">
        <w:rPr>
          <w:lang w:val="de-DE"/>
        </w:rPr>
        <w:t xml:space="preserve">pp. </w:t>
      </w:r>
      <w:r w:rsidRPr="009C250F">
        <w:rPr>
          <w:lang w:val="de-DE"/>
        </w:rPr>
        <w:t>202-209.</w:t>
      </w:r>
    </w:p>
    <w:p w:rsidR="002D463E" w:rsidRPr="009C250F" w:rsidRDefault="002D463E" w:rsidP="009C250F">
      <w:pPr>
        <w:pStyle w:val="References"/>
        <w:rPr>
          <w:lang w:val="de-DE"/>
        </w:rPr>
      </w:pPr>
    </w:p>
    <w:p w:rsidR="002D463E" w:rsidRPr="007B4815" w:rsidRDefault="002D463E" w:rsidP="009C250F">
      <w:pPr>
        <w:pStyle w:val="References"/>
        <w:rPr>
          <w:szCs w:val="24"/>
        </w:rPr>
      </w:pPr>
      <w:r w:rsidRPr="009C250F">
        <w:rPr>
          <w:iCs/>
          <w:szCs w:val="24"/>
        </w:rPr>
        <w:t>The Bible.</w:t>
      </w:r>
      <w:r w:rsidRPr="007B4815">
        <w:rPr>
          <w:i/>
          <w:szCs w:val="24"/>
        </w:rPr>
        <w:t xml:space="preserve"> </w:t>
      </w:r>
      <w:r>
        <w:rPr>
          <w:szCs w:val="24"/>
        </w:rPr>
        <w:t>(accessed 3 February, 2011) Revised S</w:t>
      </w:r>
      <w:r w:rsidRPr="007B4815">
        <w:rPr>
          <w:szCs w:val="24"/>
        </w:rPr>
        <w:t>tand</w:t>
      </w:r>
      <w:r>
        <w:rPr>
          <w:szCs w:val="24"/>
        </w:rPr>
        <w:t>ard V</w:t>
      </w:r>
      <w:r w:rsidRPr="007B4815">
        <w:rPr>
          <w:szCs w:val="24"/>
        </w:rPr>
        <w:t>ersion,</w:t>
      </w:r>
      <w:r>
        <w:rPr>
          <w:szCs w:val="24"/>
        </w:rPr>
        <w:t xml:space="preserve"> </w:t>
      </w:r>
      <w:r w:rsidRPr="007B4815">
        <w:rPr>
          <w:szCs w:val="24"/>
        </w:rPr>
        <w:t>&lt;</w:t>
      </w:r>
      <w:r w:rsidRPr="0075146C">
        <w:rPr>
          <w:szCs w:val="24"/>
        </w:rPr>
        <w:t>http://www.bibleontheweb.com/</w:t>
      </w:r>
      <w:r w:rsidRPr="007B4815">
        <w:rPr>
          <w:szCs w:val="24"/>
        </w:rPr>
        <w:t>&gt;.</w:t>
      </w:r>
    </w:p>
    <w:p w:rsidR="002D463E" w:rsidRPr="007B4815" w:rsidRDefault="002D463E" w:rsidP="009C250F">
      <w:pPr>
        <w:pStyle w:val="References"/>
      </w:pPr>
    </w:p>
    <w:p w:rsidR="002D463E" w:rsidRPr="007B4815" w:rsidRDefault="002D463E" w:rsidP="009C250F">
      <w:pPr>
        <w:pStyle w:val="References"/>
      </w:pPr>
      <w:r w:rsidRPr="007B4815">
        <w:t>Cottingham, J. (1978)</w:t>
      </w:r>
      <w:r>
        <w:t>,</w:t>
      </w:r>
      <w:r w:rsidRPr="007B4815">
        <w:t xml:space="preserve"> </w:t>
      </w:r>
      <w:r>
        <w:t>“</w:t>
      </w:r>
      <w:r w:rsidRPr="007B4815">
        <w:t>'A Brute to the Brutes'? Descartes' Treatment of Animals,</w:t>
      </w:r>
      <w:r>
        <w:t>”</w:t>
      </w:r>
      <w:r w:rsidRPr="007B4815">
        <w:t xml:space="preserve"> Philosophy</w:t>
      </w:r>
      <w:r>
        <w:t>,</w:t>
      </w:r>
      <w:r w:rsidRPr="007B4815">
        <w:t xml:space="preserve"> 63</w:t>
      </w:r>
      <w:r>
        <w:t>:</w:t>
      </w:r>
      <w:r w:rsidRPr="007B4815">
        <w:t xml:space="preserve"> 175-183.</w:t>
      </w:r>
    </w:p>
    <w:p w:rsidR="002D463E" w:rsidRPr="007B4815" w:rsidRDefault="002D463E" w:rsidP="009C250F">
      <w:pPr>
        <w:pStyle w:val="References"/>
      </w:pPr>
    </w:p>
    <w:p w:rsidR="002D463E" w:rsidRPr="007B4815" w:rsidRDefault="002D463E" w:rsidP="009C250F">
      <w:pPr>
        <w:pStyle w:val="References"/>
      </w:pPr>
      <w:r w:rsidRPr="007B4815">
        <w:t>Einstein, A.</w:t>
      </w:r>
      <w:r>
        <w:t>,</w:t>
      </w:r>
      <w:r w:rsidRPr="007B4815">
        <w:t xml:space="preserve"> (1929)</w:t>
      </w:r>
      <w:r>
        <w:t>,</w:t>
      </w:r>
      <w:r w:rsidRPr="007B4815">
        <w:t xml:space="preserve"> Letter to Eduard Büsching, Oct. 25, 1929. Quoted in Jammer (1999).</w:t>
      </w:r>
    </w:p>
    <w:p w:rsidR="002D463E" w:rsidRPr="007B4815" w:rsidRDefault="002D463E" w:rsidP="009C250F">
      <w:pPr>
        <w:pStyle w:val="References"/>
      </w:pPr>
    </w:p>
    <w:p w:rsidR="002D463E" w:rsidRPr="007B4815" w:rsidRDefault="002D463E" w:rsidP="009C250F">
      <w:pPr>
        <w:pStyle w:val="References"/>
      </w:pPr>
      <w:r w:rsidRPr="007B4815">
        <w:t>Garrity, T.</w:t>
      </w:r>
      <w:r>
        <w:t>,</w:t>
      </w:r>
      <w:r w:rsidRPr="007B4815">
        <w:t xml:space="preserve"> and L. Stallones.</w:t>
      </w:r>
      <w:r>
        <w:t>,</w:t>
      </w:r>
      <w:r w:rsidRPr="007B4815">
        <w:t xml:space="preserve"> (1997)</w:t>
      </w:r>
      <w:r>
        <w:t>,</w:t>
      </w:r>
      <w:r w:rsidRPr="007B4815">
        <w:t xml:space="preserve"> “Effects of Pet Contact on Human Well-Being”</w:t>
      </w:r>
      <w:r>
        <w:t>,</w:t>
      </w:r>
      <w:r w:rsidRPr="007B4815">
        <w:t xml:space="preserve"> In </w:t>
      </w:r>
      <w:r w:rsidRPr="007B4815">
        <w:rPr>
          <w:i/>
        </w:rPr>
        <w:t>Companion Animals in Human Health</w:t>
      </w:r>
      <w:r>
        <w:t>,</w:t>
      </w:r>
      <w:r w:rsidRPr="007B4815">
        <w:t xml:space="preserve"> </w:t>
      </w:r>
      <w:r>
        <w:t xml:space="preserve">Turner, D., and </w:t>
      </w:r>
      <w:smartTag w:uri="urn:schemas-microsoft-com:office:smarttags" w:element="City">
        <w:r>
          <w:t>Wilson</w:t>
        </w:r>
      </w:smartTag>
      <w:r>
        <w:t>, C., (eds.),</w:t>
      </w:r>
      <w:r w:rsidRPr="007B4815">
        <w:t xml:space="preserve"> </w:t>
      </w:r>
      <w:smartTag w:uri="urn:schemas-microsoft-com:office:smarttags" w:element="place">
        <w:smartTag w:uri="urn:schemas-microsoft-com:office:smarttags" w:element="City">
          <w:r w:rsidRPr="007B4815">
            <w:t>London</w:t>
          </w:r>
        </w:smartTag>
      </w:smartTag>
      <w:r w:rsidRPr="007B4815">
        <w:t>: Sage Publications.</w:t>
      </w:r>
    </w:p>
    <w:p w:rsidR="002D463E" w:rsidRPr="007B4815" w:rsidRDefault="002D463E" w:rsidP="009C250F">
      <w:pPr>
        <w:pStyle w:val="References"/>
      </w:pPr>
    </w:p>
    <w:p w:rsidR="002D463E" w:rsidRPr="009C250F" w:rsidRDefault="002D463E" w:rsidP="009C250F">
      <w:pPr>
        <w:pStyle w:val="References"/>
        <w:rPr>
          <w:i/>
          <w:iCs/>
        </w:rPr>
      </w:pPr>
      <w:r w:rsidRPr="007B4815">
        <w:t>Haraway, D.</w:t>
      </w:r>
      <w:r>
        <w:t>,</w:t>
      </w:r>
      <w:r w:rsidRPr="007B4815">
        <w:t xml:space="preserve"> (2003)</w:t>
      </w:r>
      <w:r>
        <w:t>,</w:t>
      </w:r>
      <w:r w:rsidRPr="007B4815">
        <w:t xml:space="preserve"> </w:t>
      </w:r>
      <w:r w:rsidRPr="007B4815">
        <w:rPr>
          <w:i/>
          <w:iCs/>
        </w:rPr>
        <w:t>The Companion Species Manifesto: Dogs, People, and Significant Otherness</w:t>
      </w:r>
      <w:r>
        <w:t>,</w:t>
      </w:r>
      <w:r w:rsidRPr="007B4815">
        <w:t xml:space="preserve"> Chicago: Prickly Paradigm Press.</w:t>
      </w:r>
    </w:p>
    <w:p w:rsidR="002D463E" w:rsidRPr="007B4815" w:rsidRDefault="002D463E" w:rsidP="009C250F">
      <w:pPr>
        <w:pStyle w:val="References"/>
      </w:pPr>
    </w:p>
    <w:p w:rsidR="002D463E" w:rsidRPr="007B4815" w:rsidRDefault="002D463E" w:rsidP="009C250F">
      <w:pPr>
        <w:pStyle w:val="References"/>
      </w:pPr>
      <w:r w:rsidRPr="007B4815">
        <w:t>Harrison, P.</w:t>
      </w:r>
      <w:r>
        <w:t>,</w:t>
      </w:r>
      <w:r w:rsidRPr="007B4815">
        <w:t xml:space="preserve"> (1992)</w:t>
      </w:r>
      <w:r>
        <w:t>,</w:t>
      </w:r>
      <w:r w:rsidRPr="007B4815">
        <w:t xml:space="preserve"> “Descartes on Animals”</w:t>
      </w:r>
      <w:r>
        <w:t>,</w:t>
      </w:r>
      <w:r w:rsidRPr="007B4815">
        <w:t xml:space="preserve"> </w:t>
      </w:r>
      <w:r w:rsidRPr="00556939">
        <w:rPr>
          <w:i/>
        </w:rPr>
        <w:t>Philosophical Quarterly</w:t>
      </w:r>
      <w:r>
        <w:t>,</w:t>
      </w:r>
      <w:r w:rsidRPr="007B4815">
        <w:t xml:space="preserve"> 42</w:t>
      </w:r>
      <w:r>
        <w:t>,</w:t>
      </w:r>
      <w:r w:rsidRPr="007B4815">
        <w:t xml:space="preserve"> 167</w:t>
      </w:r>
      <w:r>
        <w:t xml:space="preserve">, pp. </w:t>
      </w:r>
      <w:r w:rsidRPr="007B4815">
        <w:t>219-227.</w:t>
      </w:r>
    </w:p>
    <w:p w:rsidR="002D463E" w:rsidRPr="007B4815" w:rsidRDefault="002D463E" w:rsidP="009C250F">
      <w:pPr>
        <w:pStyle w:val="References"/>
      </w:pPr>
    </w:p>
    <w:p w:rsidR="002D463E" w:rsidRPr="007B4815" w:rsidRDefault="002D463E" w:rsidP="009C250F">
      <w:pPr>
        <w:pStyle w:val="References"/>
      </w:pPr>
      <w:r w:rsidRPr="007B4815">
        <w:t>Harth, E.</w:t>
      </w:r>
      <w:r>
        <w:t>,</w:t>
      </w:r>
      <w:r w:rsidRPr="007B4815">
        <w:t xml:space="preserve"> (1992)</w:t>
      </w:r>
      <w:r>
        <w:t>,</w:t>
      </w:r>
      <w:r w:rsidRPr="007B4815">
        <w:t xml:space="preserve"> </w:t>
      </w:r>
      <w:r w:rsidRPr="007B4815">
        <w:rPr>
          <w:i/>
        </w:rPr>
        <w:t>Cartesian Women</w:t>
      </w:r>
      <w:r>
        <w:rPr>
          <w:i/>
        </w:rPr>
        <w:t>,</w:t>
      </w:r>
      <w:r w:rsidRPr="007B4815">
        <w:rPr>
          <w:i/>
        </w:rPr>
        <w:t xml:space="preserve"> </w:t>
      </w:r>
      <w:smartTag w:uri="urn:schemas-microsoft-com:office:smarttags" w:element="City">
        <w:r w:rsidRPr="007B4815">
          <w:t>Ithaca</w:t>
        </w:r>
      </w:smartTag>
      <w:r w:rsidRPr="007B4815">
        <w:t xml:space="preserve">, </w:t>
      </w:r>
      <w:smartTag w:uri="urn:schemas-microsoft-com:office:smarttags" w:element="State">
        <w:r w:rsidRPr="007B4815">
          <w:t>NY</w:t>
        </w:r>
      </w:smartTag>
      <w:r w:rsidRPr="007B4815">
        <w:t xml:space="preserve">: </w:t>
      </w:r>
      <w:smartTag w:uri="urn:schemas-microsoft-com:office:smarttags" w:element="place">
        <w:smartTag w:uri="urn:schemas-microsoft-com:office:smarttags" w:element="PlaceName">
          <w:r w:rsidRPr="007B4815">
            <w:t>Cornell</w:t>
          </w:r>
        </w:smartTag>
        <w:r w:rsidRPr="007B4815">
          <w:t xml:space="preserve"> </w:t>
        </w:r>
        <w:smartTag w:uri="urn:schemas-microsoft-com:office:smarttags" w:element="PlaceType">
          <w:r w:rsidRPr="007B4815">
            <w:t>University</w:t>
          </w:r>
        </w:smartTag>
      </w:smartTag>
      <w:r w:rsidRPr="007B4815">
        <w:t xml:space="preserve"> Press. </w:t>
      </w:r>
    </w:p>
    <w:p w:rsidR="002D463E" w:rsidRPr="007B4815" w:rsidRDefault="002D463E" w:rsidP="009C250F">
      <w:pPr>
        <w:pStyle w:val="References"/>
      </w:pPr>
    </w:p>
    <w:p w:rsidR="002D463E" w:rsidRDefault="002D463E" w:rsidP="009C250F">
      <w:pPr>
        <w:pStyle w:val="References"/>
      </w:pPr>
      <w:r w:rsidRPr="007B4815">
        <w:t>Hines, L.</w:t>
      </w:r>
      <w:r>
        <w:t>,</w:t>
      </w:r>
      <w:r w:rsidRPr="007B4815">
        <w:t xml:space="preserve"> Frederickson</w:t>
      </w:r>
      <w:r>
        <w:t>, M.,</w:t>
      </w:r>
      <w:r w:rsidRPr="007B4815">
        <w:t xml:space="preserve"> (1997)</w:t>
      </w:r>
      <w:r>
        <w:t>,</w:t>
      </w:r>
      <w:r w:rsidRPr="007B4815">
        <w:t xml:space="preserve"> “Perspectives on Animal Assisted Activities and Therapy”</w:t>
      </w:r>
      <w:r>
        <w:t>,</w:t>
      </w:r>
      <w:r w:rsidRPr="007B4815">
        <w:t xml:space="preserve"> </w:t>
      </w:r>
    </w:p>
    <w:p w:rsidR="009C250F" w:rsidRDefault="009C250F" w:rsidP="009C250F">
      <w:pPr>
        <w:pStyle w:val="References"/>
      </w:pPr>
    </w:p>
    <w:p w:rsidR="002D463E" w:rsidRPr="007B4815" w:rsidRDefault="002D463E" w:rsidP="009C250F">
      <w:pPr>
        <w:pStyle w:val="References"/>
      </w:pPr>
      <w:r w:rsidRPr="007B4815">
        <w:t xml:space="preserve">In </w:t>
      </w:r>
      <w:r w:rsidRPr="007B4815">
        <w:rPr>
          <w:i/>
        </w:rPr>
        <w:t>Companion Animals in Human Health</w:t>
      </w:r>
      <w:r w:rsidRPr="007B4815">
        <w:t xml:space="preserve">. </w:t>
      </w:r>
      <w:r>
        <w:t>Turner, D., and Wilson, C., (eds.),</w:t>
      </w:r>
      <w:r w:rsidRPr="007B4815">
        <w:t xml:space="preserve"> </w:t>
      </w:r>
      <w:smartTag w:uri="urn:schemas-microsoft-com:office:smarttags" w:element="City">
        <w:smartTag w:uri="urn:schemas-microsoft-com:office:smarttags" w:element="place">
          <w:r w:rsidRPr="007B4815">
            <w:t>London</w:t>
          </w:r>
        </w:smartTag>
      </w:smartTag>
      <w:r w:rsidRPr="007B4815">
        <w:t>: Sage Publications.</w:t>
      </w:r>
    </w:p>
    <w:p w:rsidR="002D463E" w:rsidRPr="007B4815" w:rsidRDefault="002D463E" w:rsidP="009C250F">
      <w:pPr>
        <w:pStyle w:val="References"/>
      </w:pPr>
    </w:p>
    <w:p w:rsidR="002D463E" w:rsidRPr="007B4815" w:rsidRDefault="002D463E" w:rsidP="009C250F">
      <w:pPr>
        <w:pStyle w:val="References"/>
      </w:pPr>
      <w:r w:rsidRPr="007B4815">
        <w:t>Hobbes, T.</w:t>
      </w:r>
      <w:r>
        <w:t>,</w:t>
      </w:r>
      <w:r w:rsidRPr="007B4815">
        <w:t xml:space="preserve"> (1998 [1642])</w:t>
      </w:r>
      <w:r>
        <w:t>,</w:t>
      </w:r>
      <w:r w:rsidRPr="007B4815">
        <w:t xml:space="preserve"> </w:t>
      </w:r>
      <w:r w:rsidRPr="007B4815">
        <w:rPr>
          <w:i/>
        </w:rPr>
        <w:t>On the Citizen</w:t>
      </w:r>
      <w:r>
        <w:rPr>
          <w:i/>
        </w:rPr>
        <w:t>,</w:t>
      </w:r>
      <w:r w:rsidRPr="007B4815">
        <w:rPr>
          <w:i/>
        </w:rPr>
        <w:t xml:space="preserve"> </w:t>
      </w:r>
      <w:r>
        <w:t>Tuck, R., Siilverthorne, M., (eds.),</w:t>
      </w:r>
      <w:r w:rsidRPr="007B4815">
        <w:t xml:space="preserve"> </w:t>
      </w:r>
      <w:smartTag w:uri="urn:schemas-microsoft-com:office:smarttags" w:element="City">
        <w:r w:rsidRPr="007B4815">
          <w:t>Cambridge</w:t>
        </w:r>
      </w:smartTag>
      <w:r w:rsidRPr="007B4815">
        <w:t xml:space="preserve">: </w:t>
      </w:r>
      <w:smartTag w:uri="urn:schemas-microsoft-com:office:smarttags" w:element="place">
        <w:smartTag w:uri="urn:schemas-microsoft-com:office:smarttags" w:element="PlaceName">
          <w:r w:rsidRPr="007B4815">
            <w:t>Cambridge</w:t>
          </w:r>
        </w:smartTag>
        <w:r w:rsidRPr="007B4815">
          <w:t xml:space="preserve"> </w:t>
        </w:r>
        <w:smartTag w:uri="urn:schemas-microsoft-com:office:smarttags" w:element="PlaceType">
          <w:r w:rsidRPr="007B4815">
            <w:t>University</w:t>
          </w:r>
        </w:smartTag>
      </w:smartTag>
      <w:r w:rsidRPr="007B4815">
        <w:t xml:space="preserve"> Press.</w:t>
      </w:r>
    </w:p>
    <w:p w:rsidR="002D463E" w:rsidRPr="007B4815" w:rsidRDefault="002D463E" w:rsidP="009C250F">
      <w:pPr>
        <w:pStyle w:val="References"/>
      </w:pPr>
    </w:p>
    <w:p w:rsidR="002D463E" w:rsidRPr="007B4815" w:rsidRDefault="002D463E" w:rsidP="009C250F">
      <w:pPr>
        <w:pStyle w:val="References"/>
      </w:pPr>
      <w:smartTag w:uri="urn:schemas-microsoft-com:office:smarttags" w:element="place">
        <w:smartTag w:uri="urn:schemas-microsoft-com:office:smarttags" w:element="country-region">
          <w:r w:rsidRPr="007B4815">
            <w:t>Israel</w:t>
          </w:r>
        </w:smartTag>
      </w:smartTag>
      <w:r w:rsidRPr="007B4815">
        <w:t>, J.</w:t>
      </w:r>
      <w:r>
        <w:t>,</w:t>
      </w:r>
      <w:r w:rsidRPr="007B4815">
        <w:t xml:space="preserve"> (2001)</w:t>
      </w:r>
      <w:r>
        <w:t>,</w:t>
      </w:r>
      <w:r w:rsidRPr="007B4815">
        <w:t xml:space="preserve"> Radical Enlightenment: Philosophy and the Making of Modernity, 1650-1750. New York: Oxford.</w:t>
      </w:r>
    </w:p>
    <w:p w:rsidR="002D463E" w:rsidRPr="007B4815" w:rsidRDefault="002D463E" w:rsidP="009C250F">
      <w:pPr>
        <w:pStyle w:val="References"/>
      </w:pPr>
    </w:p>
    <w:p w:rsidR="002D463E" w:rsidRPr="007B4815" w:rsidRDefault="002D463E" w:rsidP="009C250F">
      <w:pPr>
        <w:pStyle w:val="References"/>
      </w:pPr>
      <w:r w:rsidRPr="007B4815">
        <w:t>Jammer, M.</w:t>
      </w:r>
      <w:r>
        <w:t>,</w:t>
      </w:r>
      <w:r w:rsidRPr="007B4815">
        <w:t xml:space="preserve"> (1999)</w:t>
      </w:r>
      <w:r>
        <w:t>,</w:t>
      </w:r>
      <w:r w:rsidRPr="007B4815">
        <w:t xml:space="preserve"> </w:t>
      </w:r>
      <w:r w:rsidRPr="007B4815">
        <w:rPr>
          <w:i/>
        </w:rPr>
        <w:t xml:space="preserve">Einstein and Religion. </w:t>
      </w:r>
      <w:r w:rsidRPr="007B4815">
        <w:t xml:space="preserve">Princeton: </w:t>
      </w:r>
      <w:smartTag w:uri="urn:schemas-microsoft-com:office:smarttags" w:element="place">
        <w:smartTag w:uri="urn:schemas-microsoft-com:office:smarttags" w:element="PlaceName">
          <w:r w:rsidRPr="007B4815">
            <w:t>Princeton</w:t>
          </w:r>
        </w:smartTag>
        <w:r w:rsidRPr="007B4815">
          <w:t xml:space="preserve"> </w:t>
        </w:r>
        <w:smartTag w:uri="urn:schemas-microsoft-com:office:smarttags" w:element="PlaceType">
          <w:r w:rsidRPr="007B4815">
            <w:t>University</w:t>
          </w:r>
        </w:smartTag>
      </w:smartTag>
      <w:r w:rsidRPr="007B4815">
        <w:t xml:space="preserve"> Press.</w:t>
      </w:r>
    </w:p>
    <w:p w:rsidR="002D463E" w:rsidRPr="007B4815" w:rsidRDefault="002D463E" w:rsidP="009C250F">
      <w:pPr>
        <w:pStyle w:val="References"/>
      </w:pPr>
    </w:p>
    <w:p w:rsidR="002D463E" w:rsidRPr="007B4815" w:rsidRDefault="002D463E" w:rsidP="009C250F">
      <w:pPr>
        <w:pStyle w:val="References"/>
      </w:pPr>
      <w:r w:rsidRPr="007B4815">
        <w:t>Kant, I.</w:t>
      </w:r>
      <w:r>
        <w:t>,</w:t>
      </w:r>
      <w:r w:rsidRPr="007B4815">
        <w:t xml:space="preserve"> 1997 [1788]</w:t>
      </w:r>
      <w:r>
        <w:t>,</w:t>
      </w:r>
      <w:r w:rsidRPr="007B4815">
        <w:t xml:space="preserve"> </w:t>
      </w:r>
      <w:r w:rsidRPr="007B4815">
        <w:rPr>
          <w:i/>
        </w:rPr>
        <w:t>Critique of Practical Reason</w:t>
      </w:r>
      <w:r>
        <w:rPr>
          <w:i/>
        </w:rPr>
        <w:t>,</w:t>
      </w:r>
      <w:r w:rsidRPr="007B4815">
        <w:rPr>
          <w:i/>
        </w:rPr>
        <w:t xml:space="preserve"> </w:t>
      </w:r>
      <w:r>
        <w:t>Gregor, M. (trans.),</w:t>
      </w:r>
      <w:r w:rsidRPr="007B4815">
        <w:t xml:space="preserve"> </w:t>
      </w:r>
      <w:smartTag w:uri="urn:schemas-microsoft-com:office:smarttags" w:element="City">
        <w:r w:rsidRPr="007B4815">
          <w:t>Cambridge</w:t>
        </w:r>
      </w:smartTag>
      <w:r w:rsidRPr="007B4815">
        <w:t xml:space="preserve">: </w:t>
      </w:r>
      <w:smartTag w:uri="urn:schemas-microsoft-com:office:smarttags" w:element="PlaceName">
        <w:r w:rsidRPr="007B4815">
          <w:t>Cambridge</w:t>
        </w:r>
      </w:smartTag>
      <w:r w:rsidRPr="007B4815">
        <w:t xml:space="preserve"> University Press.</w:t>
      </w:r>
    </w:p>
    <w:p w:rsidR="002D463E" w:rsidRPr="007B4815" w:rsidRDefault="002D463E" w:rsidP="009C250F">
      <w:pPr>
        <w:pStyle w:val="References"/>
      </w:pPr>
    </w:p>
    <w:p w:rsidR="002D463E" w:rsidRPr="007B4815" w:rsidRDefault="002D463E" w:rsidP="009C250F">
      <w:pPr>
        <w:pStyle w:val="References"/>
      </w:pPr>
      <w:r w:rsidRPr="007B4815">
        <w:t>Kant, I.</w:t>
      </w:r>
      <w:r>
        <w:t>,</w:t>
      </w:r>
      <w:r w:rsidRPr="007B4815">
        <w:t xml:space="preserve"> (1999 [1781]) </w:t>
      </w:r>
      <w:r w:rsidRPr="007B4815">
        <w:rPr>
          <w:i/>
        </w:rPr>
        <w:t>Critique of Pure Reason</w:t>
      </w:r>
      <w:r>
        <w:rPr>
          <w:i/>
        </w:rPr>
        <w:t>,</w:t>
      </w:r>
      <w:r w:rsidRPr="007B4815">
        <w:rPr>
          <w:i/>
        </w:rPr>
        <w:t xml:space="preserve"> </w:t>
      </w:r>
      <w:r>
        <w:t>Guyer, P., Wood, A., (trans.),</w:t>
      </w:r>
      <w:r w:rsidRPr="007B4815">
        <w:t xml:space="preserve"> </w:t>
      </w:r>
      <w:smartTag w:uri="urn:schemas-microsoft-com:office:smarttags" w:element="City">
        <w:r w:rsidRPr="007B4815">
          <w:t>Cambridge</w:t>
        </w:r>
      </w:smartTag>
      <w:r w:rsidRPr="007B4815">
        <w:t xml:space="preserve">: </w:t>
      </w:r>
      <w:smartTag w:uri="urn:schemas-microsoft-com:office:smarttags" w:element="place">
        <w:smartTag w:uri="urn:schemas-microsoft-com:office:smarttags" w:element="PlaceName">
          <w:r w:rsidRPr="007B4815">
            <w:t>Cambridge</w:t>
          </w:r>
        </w:smartTag>
        <w:r w:rsidRPr="007B4815">
          <w:t xml:space="preserve"> </w:t>
        </w:r>
        <w:smartTag w:uri="urn:schemas-microsoft-com:office:smarttags" w:element="PlaceType">
          <w:r w:rsidRPr="007B4815">
            <w:t>University</w:t>
          </w:r>
        </w:smartTag>
      </w:smartTag>
      <w:r w:rsidRPr="007B4815">
        <w:t xml:space="preserve"> Press.</w:t>
      </w:r>
    </w:p>
    <w:p w:rsidR="002D463E" w:rsidRPr="007B4815" w:rsidRDefault="002D463E" w:rsidP="009C250F">
      <w:pPr>
        <w:pStyle w:val="References"/>
      </w:pPr>
    </w:p>
    <w:p w:rsidR="002D463E" w:rsidRPr="007B4815" w:rsidRDefault="002D463E" w:rsidP="009C250F">
      <w:pPr>
        <w:pStyle w:val="References"/>
      </w:pPr>
      <w:r w:rsidRPr="007B4815">
        <w:t>Levene, N</w:t>
      </w:r>
      <w:r>
        <w:t>,</w:t>
      </w:r>
      <w:r w:rsidRPr="007B4815">
        <w:t xml:space="preserve"> (2006)</w:t>
      </w:r>
      <w:r>
        <w:t>,</w:t>
      </w:r>
      <w:r w:rsidRPr="007B4815">
        <w:t xml:space="preserve"> “The Fall of </w:t>
      </w:r>
      <w:smartTag w:uri="urn:schemas-microsoft-com:office:smarttags" w:element="City">
        <w:smartTag w:uri="urn:schemas-microsoft-com:office:smarttags" w:element="place">
          <w:r w:rsidRPr="007B4815">
            <w:t>Eden</w:t>
          </w:r>
        </w:smartTag>
      </w:smartTag>
      <w:r w:rsidRPr="007B4815">
        <w:t>”</w:t>
      </w:r>
      <w:r>
        <w:t>,</w:t>
      </w:r>
      <w:r w:rsidRPr="007B4815">
        <w:t xml:space="preserve"> </w:t>
      </w:r>
      <w:r w:rsidRPr="007B4815">
        <w:rPr>
          <w:i/>
        </w:rPr>
        <w:t>Philosophy Today</w:t>
      </w:r>
      <w:r>
        <w:rPr>
          <w:i/>
        </w:rPr>
        <w:t>,</w:t>
      </w:r>
      <w:r w:rsidRPr="007B4815">
        <w:rPr>
          <w:i/>
        </w:rPr>
        <w:t xml:space="preserve"> </w:t>
      </w:r>
      <w:r w:rsidRPr="007B4815">
        <w:t>50</w:t>
      </w:r>
      <w:r>
        <w:t>,</w:t>
      </w:r>
      <w:r w:rsidRPr="007B4815">
        <w:t xml:space="preserve"> </w:t>
      </w:r>
      <w:r>
        <w:t xml:space="preserve">pp. </w:t>
      </w:r>
      <w:r w:rsidRPr="007B4815">
        <w:t>6-23.</w:t>
      </w:r>
    </w:p>
    <w:p w:rsidR="002D463E" w:rsidRPr="007B4815" w:rsidRDefault="002D463E" w:rsidP="009C250F">
      <w:pPr>
        <w:pStyle w:val="References"/>
      </w:pPr>
    </w:p>
    <w:p w:rsidR="002D463E" w:rsidRPr="002D463E" w:rsidRDefault="002D463E" w:rsidP="009C250F">
      <w:pPr>
        <w:pStyle w:val="References"/>
        <w:rPr>
          <w:lang w:val="fr-FR"/>
        </w:rPr>
      </w:pPr>
      <w:r w:rsidRPr="002D463E">
        <w:rPr>
          <w:lang w:val="fr-FR"/>
        </w:rPr>
        <w:t xml:space="preserve">Lloyd, G., (1980), “Spinoza’s Environmental Ethics”, </w:t>
      </w:r>
      <w:r w:rsidRPr="002D463E">
        <w:rPr>
          <w:i/>
          <w:lang w:val="fr-FR"/>
        </w:rPr>
        <w:t xml:space="preserve">Inquiry, </w:t>
      </w:r>
      <w:r w:rsidRPr="002D463E">
        <w:rPr>
          <w:lang w:val="fr-FR"/>
        </w:rPr>
        <w:t>23,pp. 293-311.</w:t>
      </w:r>
    </w:p>
    <w:p w:rsidR="002D463E" w:rsidRPr="002D463E" w:rsidRDefault="002D463E" w:rsidP="009C250F">
      <w:pPr>
        <w:pStyle w:val="References"/>
        <w:rPr>
          <w:lang w:val="fr-FR"/>
        </w:rPr>
      </w:pPr>
    </w:p>
    <w:p w:rsidR="002D463E" w:rsidRPr="007B4815" w:rsidRDefault="002D463E" w:rsidP="009C250F">
      <w:pPr>
        <w:pStyle w:val="References"/>
      </w:pPr>
      <w:r w:rsidRPr="007B4815">
        <w:t>Maimonides, M.</w:t>
      </w:r>
      <w:r>
        <w:t>,</w:t>
      </w:r>
      <w:r w:rsidRPr="007B4815">
        <w:t xml:space="preserve"> (1995 [12</w:t>
      </w:r>
      <w:r w:rsidRPr="007B4815">
        <w:rPr>
          <w:vertAlign w:val="superscript"/>
        </w:rPr>
        <w:t>th</w:t>
      </w:r>
      <w:r w:rsidRPr="007B4815">
        <w:t xml:space="preserve"> century])</w:t>
      </w:r>
      <w:r>
        <w:t>,</w:t>
      </w:r>
      <w:r w:rsidRPr="007B4815">
        <w:t xml:space="preserve"> </w:t>
      </w:r>
      <w:r w:rsidRPr="007B4815">
        <w:rPr>
          <w:i/>
        </w:rPr>
        <w:t>The Guide of the Perplexed</w:t>
      </w:r>
      <w:r>
        <w:rPr>
          <w:i/>
        </w:rPr>
        <w:t>,</w:t>
      </w:r>
      <w:r w:rsidRPr="007B4815">
        <w:rPr>
          <w:i/>
        </w:rPr>
        <w:t xml:space="preserve"> </w:t>
      </w:r>
      <w:r>
        <w:t>Rabin, C., (trans),</w:t>
      </w:r>
      <w:r w:rsidRPr="007B4815">
        <w:t xml:space="preserve"> Indianapolis: Hackett.</w:t>
      </w:r>
    </w:p>
    <w:p w:rsidR="002D463E" w:rsidRPr="007B4815" w:rsidRDefault="002D463E" w:rsidP="009C250F">
      <w:pPr>
        <w:pStyle w:val="References"/>
      </w:pPr>
    </w:p>
    <w:p w:rsidR="002D463E" w:rsidRDefault="002D463E" w:rsidP="009C250F">
      <w:pPr>
        <w:pStyle w:val="References"/>
      </w:pPr>
      <w:r w:rsidRPr="007B4815">
        <w:t>Matheron, A.</w:t>
      </w:r>
      <w:r>
        <w:t>,</w:t>
      </w:r>
      <w:r w:rsidRPr="007B4815">
        <w:t xml:space="preserve"> (2009)</w:t>
      </w:r>
      <w:r>
        <w:t>,</w:t>
      </w:r>
      <w:r w:rsidRPr="007B4815">
        <w:t xml:space="preserve"> “Spinoza and Sexuality”</w:t>
      </w:r>
      <w:r>
        <w:t>,</w:t>
      </w:r>
      <w:r w:rsidRPr="007B4815">
        <w:t xml:space="preserve"> In </w:t>
      </w:r>
      <w:r w:rsidRPr="007B4815">
        <w:rPr>
          <w:i/>
        </w:rPr>
        <w:t>Feminist Interpretations of Benedict Spinoza</w:t>
      </w:r>
      <w:r w:rsidRPr="007B4815">
        <w:t xml:space="preserve">. </w:t>
      </w:r>
    </w:p>
    <w:p w:rsidR="009C250F" w:rsidRDefault="009C250F" w:rsidP="009C250F">
      <w:pPr>
        <w:pStyle w:val="References"/>
      </w:pPr>
    </w:p>
    <w:p w:rsidR="002D463E" w:rsidRPr="007B4815" w:rsidRDefault="002D463E" w:rsidP="009C250F">
      <w:pPr>
        <w:pStyle w:val="References"/>
      </w:pPr>
      <w:r>
        <w:t>Gatens, M., (trans),</w:t>
      </w:r>
      <w:r w:rsidRPr="007B4815">
        <w:t xml:space="preserve"> </w:t>
      </w:r>
      <w:smartTag w:uri="urn:schemas-microsoft-com:office:smarttags" w:element="place">
        <w:smartTag w:uri="urn:schemas-microsoft-com:office:smarttags" w:element="City">
          <w:r w:rsidRPr="007B4815">
            <w:t>University Park</w:t>
          </w:r>
        </w:smartTag>
        <w:r w:rsidRPr="007B4815">
          <w:t xml:space="preserve">, </w:t>
        </w:r>
        <w:smartTag w:uri="urn:schemas-microsoft-com:office:smarttags" w:element="State">
          <w:r w:rsidRPr="007B4815">
            <w:t>Pennsylvania</w:t>
          </w:r>
        </w:smartTag>
      </w:smartTag>
      <w:r w:rsidRPr="007B4815">
        <w:t xml:space="preserve">: </w:t>
      </w:r>
      <w:smartTag w:uri="urn:schemas-microsoft-com:office:smarttags" w:element="PlaceName">
        <w:r w:rsidRPr="007B4815">
          <w:t>Pennsylvania</w:t>
        </w:r>
      </w:smartTag>
      <w:r w:rsidRPr="007B4815">
        <w:t xml:space="preserve"> </w:t>
      </w:r>
      <w:smartTag w:uri="urn:schemas-microsoft-com:office:smarttags" w:element="PlaceType">
        <w:r w:rsidRPr="007B4815">
          <w:t>State</w:t>
        </w:r>
      </w:smartTag>
      <w:r w:rsidRPr="007B4815">
        <w:t xml:space="preserve"> </w:t>
      </w:r>
      <w:smartTag w:uri="urn:schemas-microsoft-com:office:smarttags" w:element="PlaceType">
        <w:r w:rsidRPr="007B4815">
          <w:t>University</w:t>
        </w:r>
      </w:smartTag>
      <w:r w:rsidRPr="007B4815">
        <w:t xml:space="preserve"> Press.</w:t>
      </w:r>
    </w:p>
    <w:p w:rsidR="002D463E" w:rsidRPr="007B4815" w:rsidRDefault="002D463E" w:rsidP="009C250F">
      <w:pPr>
        <w:pStyle w:val="References"/>
      </w:pPr>
    </w:p>
    <w:p w:rsidR="002D463E" w:rsidRPr="00E35253" w:rsidRDefault="002D463E" w:rsidP="009C250F">
      <w:pPr>
        <w:pStyle w:val="References"/>
        <w:rPr>
          <w:i/>
          <w:lang w:val="de-DE"/>
        </w:rPr>
      </w:pPr>
      <w:r w:rsidRPr="007B4815">
        <w:t>Melamed, Y.</w:t>
      </w:r>
      <w:r>
        <w:t>,</w:t>
      </w:r>
      <w:r w:rsidRPr="007B4815">
        <w:t xml:space="preserve"> (2011</w:t>
      </w:r>
      <w:r>
        <w:t>),</w:t>
      </w:r>
      <w:r w:rsidRPr="007B4815">
        <w:t xml:space="preserve"> “Spinoza’s A</w:t>
      </w:r>
      <w:r>
        <w:t>n</w:t>
      </w:r>
      <w:r w:rsidRPr="007B4815">
        <w:t>tihumanism”</w:t>
      </w:r>
      <w:r>
        <w:t>,</w:t>
      </w:r>
      <w:r w:rsidRPr="007B4815">
        <w:t xml:space="preserve"> In </w:t>
      </w:r>
      <w:r w:rsidRPr="007B4815">
        <w:rPr>
          <w:i/>
        </w:rPr>
        <w:t xml:space="preserve">The Rationalists: Between Innovation and </w:t>
      </w:r>
      <w:r w:rsidRPr="009C250F">
        <w:rPr>
          <w:i/>
        </w:rPr>
        <w:t xml:space="preserve">Tradition. </w:t>
      </w:r>
      <w:r w:rsidRPr="002D463E">
        <w:rPr>
          <w:lang w:val="de-DE"/>
        </w:rPr>
        <w:t xml:space="preserve">Fraenkel, C., Perinetti, D., Smith, J.E.H., (eds.),  Dordrecht: Springer. </w:t>
      </w:r>
    </w:p>
    <w:p w:rsidR="002D463E" w:rsidRPr="002D463E" w:rsidRDefault="002D463E" w:rsidP="009C250F">
      <w:pPr>
        <w:pStyle w:val="References"/>
        <w:rPr>
          <w:lang w:val="de-DE"/>
        </w:rPr>
      </w:pPr>
    </w:p>
    <w:p w:rsidR="002D463E" w:rsidRPr="009C250F" w:rsidRDefault="002D463E" w:rsidP="009C250F">
      <w:pPr>
        <w:pStyle w:val="References"/>
        <w:rPr>
          <w:i/>
        </w:rPr>
      </w:pPr>
      <w:r w:rsidRPr="007B4815">
        <w:t>Montag, W.</w:t>
      </w:r>
      <w:r>
        <w:t>,</w:t>
      </w:r>
      <w:r w:rsidRPr="007B4815">
        <w:t xml:space="preserve"> (1989)</w:t>
      </w:r>
      <w:r>
        <w:t>,</w:t>
      </w:r>
      <w:r w:rsidRPr="007B4815">
        <w:t xml:space="preserve"> “Spinoza: Politics in a World without Transcendence”</w:t>
      </w:r>
      <w:r>
        <w:t>,</w:t>
      </w:r>
      <w:r w:rsidRPr="007B4815">
        <w:t xml:space="preserve"> </w:t>
      </w:r>
      <w:r w:rsidRPr="007B4815">
        <w:rPr>
          <w:i/>
        </w:rPr>
        <w:t>Rethinking Marxism</w:t>
      </w:r>
      <w:r>
        <w:rPr>
          <w:i/>
        </w:rPr>
        <w:t>,</w:t>
      </w:r>
      <w:r w:rsidRPr="007B4815">
        <w:t xml:space="preserve"> 2</w:t>
      </w:r>
      <w:r>
        <w:t>,</w:t>
      </w:r>
      <w:r w:rsidRPr="007B4815">
        <w:t xml:space="preserve"> (3)</w:t>
      </w:r>
      <w:r>
        <w:t>, pp.</w:t>
      </w:r>
      <w:r w:rsidRPr="007B4815">
        <w:t xml:space="preserve"> 89-103.</w:t>
      </w:r>
    </w:p>
    <w:p w:rsidR="002D463E" w:rsidRPr="007B4815" w:rsidRDefault="002D463E" w:rsidP="009C250F">
      <w:pPr>
        <w:pStyle w:val="References"/>
      </w:pPr>
    </w:p>
    <w:p w:rsidR="002D463E" w:rsidRPr="009C250F" w:rsidRDefault="002D463E" w:rsidP="009C250F">
      <w:pPr>
        <w:pStyle w:val="References"/>
        <w:rPr>
          <w:bCs/>
        </w:rPr>
      </w:pPr>
      <w:r w:rsidRPr="007B4815">
        <w:t>Montag, W.</w:t>
      </w:r>
      <w:r>
        <w:t>,</w:t>
      </w:r>
      <w:r w:rsidRPr="007B4815">
        <w:t xml:space="preserve"> (2009)</w:t>
      </w:r>
      <w:r>
        <w:t>,</w:t>
      </w:r>
      <w:r w:rsidRPr="007B4815">
        <w:t xml:space="preserve"> “</w:t>
      </w:r>
      <w:r w:rsidRPr="007B4815">
        <w:rPr>
          <w:bCs/>
        </w:rPr>
        <w:t>Imitating the Affects of Beasts: Interest and Inhumanity in Spinoza”</w:t>
      </w:r>
      <w:r>
        <w:rPr>
          <w:bCs/>
        </w:rPr>
        <w:t>,</w:t>
      </w:r>
      <w:r w:rsidRPr="007B4815">
        <w:rPr>
          <w:bCs/>
        </w:rPr>
        <w:t xml:space="preserve"> </w:t>
      </w:r>
      <w:r w:rsidRPr="007B4815">
        <w:rPr>
          <w:bCs/>
          <w:i/>
        </w:rPr>
        <w:t>differences</w:t>
      </w:r>
      <w:r>
        <w:rPr>
          <w:bCs/>
          <w:i/>
        </w:rPr>
        <w:t>,</w:t>
      </w:r>
      <w:r w:rsidRPr="007B4815">
        <w:rPr>
          <w:bCs/>
        </w:rPr>
        <w:t xml:space="preserve"> 20</w:t>
      </w:r>
      <w:r>
        <w:rPr>
          <w:bCs/>
        </w:rPr>
        <w:t>,</w:t>
      </w:r>
      <w:r w:rsidRPr="007B4815">
        <w:rPr>
          <w:bCs/>
        </w:rPr>
        <w:t xml:space="preserve"> 2</w:t>
      </w:r>
      <w:r>
        <w:rPr>
          <w:bCs/>
        </w:rPr>
        <w:t>,</w:t>
      </w:r>
      <w:r w:rsidRPr="007B4815">
        <w:rPr>
          <w:bCs/>
        </w:rPr>
        <w:t xml:space="preserve"> </w:t>
      </w:r>
      <w:r>
        <w:rPr>
          <w:bCs/>
        </w:rPr>
        <w:t xml:space="preserve">pp. </w:t>
      </w:r>
      <w:r w:rsidRPr="007B4815">
        <w:rPr>
          <w:bCs/>
        </w:rPr>
        <w:t>54-72.</w:t>
      </w:r>
    </w:p>
    <w:p w:rsidR="002D463E" w:rsidRPr="007B4815" w:rsidRDefault="002D463E" w:rsidP="009C250F">
      <w:pPr>
        <w:pStyle w:val="References"/>
      </w:pPr>
    </w:p>
    <w:p w:rsidR="002D463E" w:rsidRPr="009C250F" w:rsidRDefault="002D463E" w:rsidP="009C250F">
      <w:pPr>
        <w:pStyle w:val="References"/>
        <w:rPr>
          <w:i/>
        </w:rPr>
      </w:pPr>
      <w:r w:rsidRPr="007B4815">
        <w:t>Pines, S.</w:t>
      </w:r>
      <w:r>
        <w:t>,</w:t>
      </w:r>
      <w:r w:rsidRPr="007B4815">
        <w:t xml:space="preserve"> (1983)</w:t>
      </w:r>
      <w:r>
        <w:t>,</w:t>
      </w:r>
      <w:r w:rsidRPr="007B4815">
        <w:t xml:space="preserve"> “On Spinoza’s Conception of Human Freedom and Good and Evil”</w:t>
      </w:r>
      <w:r>
        <w:t>,</w:t>
      </w:r>
      <w:r w:rsidRPr="007B4815">
        <w:t xml:space="preserve"> </w:t>
      </w:r>
      <w:r w:rsidRPr="007B4815">
        <w:rPr>
          <w:i/>
        </w:rPr>
        <w:t>Spinoza: His Thought and Work</w:t>
      </w:r>
      <w:r>
        <w:rPr>
          <w:i/>
        </w:rPr>
        <w:t>,</w:t>
      </w:r>
      <w:r w:rsidRPr="007B4815">
        <w:rPr>
          <w:i/>
        </w:rPr>
        <w:t xml:space="preserve"> </w:t>
      </w:r>
      <w:r>
        <w:t>Rotenstreich, N., Schneider, N., (eds.),</w:t>
      </w:r>
      <w:r w:rsidRPr="007B4815">
        <w:t xml:space="preserve"> </w:t>
      </w:r>
      <w:smartTag w:uri="urn:schemas-microsoft-com:office:smarttags" w:element="place">
        <w:smartTag w:uri="urn:schemas-microsoft-com:office:smarttags" w:element="City">
          <w:r w:rsidRPr="007B4815">
            <w:t>Jerusalem</w:t>
          </w:r>
        </w:smartTag>
      </w:smartTag>
      <w:r w:rsidRPr="007B4815">
        <w:t xml:space="preserve">: The </w:t>
      </w:r>
      <w:smartTag w:uri="urn:schemas-microsoft-com:office:smarttags" w:element="PlaceName">
        <w:r w:rsidRPr="007B4815">
          <w:t>Israel</w:t>
        </w:r>
      </w:smartTag>
      <w:r w:rsidRPr="007B4815">
        <w:t xml:space="preserve"> </w:t>
      </w:r>
      <w:smartTag w:uri="urn:schemas-microsoft-com:office:smarttags" w:element="PlaceType">
        <w:r w:rsidRPr="007B4815">
          <w:t>Academy</w:t>
        </w:r>
      </w:smartTag>
      <w:r w:rsidRPr="007B4815">
        <w:t xml:space="preserve"> of Sciences and Humanities.</w:t>
      </w:r>
    </w:p>
    <w:p w:rsidR="002D463E" w:rsidRPr="007B4815" w:rsidRDefault="002D463E" w:rsidP="009C250F">
      <w:pPr>
        <w:pStyle w:val="References"/>
      </w:pPr>
    </w:p>
    <w:p w:rsidR="002D463E" w:rsidRPr="007B4815" w:rsidRDefault="002D463E" w:rsidP="009C250F">
      <w:pPr>
        <w:pStyle w:val="References"/>
      </w:pPr>
      <w:r w:rsidRPr="007B4815">
        <w:t>Ravven, H.</w:t>
      </w:r>
      <w:r>
        <w:t>,</w:t>
      </w:r>
      <w:r w:rsidRPr="007B4815">
        <w:t xml:space="preserve"> (2001)</w:t>
      </w:r>
      <w:r>
        <w:t>,</w:t>
      </w:r>
      <w:r w:rsidRPr="007B4815">
        <w:t xml:space="preserve"> “The Garden of Eden: Spinoza’s Maimonidean Account of the Genealogy of Morals and the Origin of Society”</w:t>
      </w:r>
      <w:r>
        <w:t>,</w:t>
      </w:r>
      <w:r w:rsidRPr="007B4815">
        <w:t xml:space="preserve"> </w:t>
      </w:r>
      <w:r w:rsidRPr="007B4815">
        <w:rPr>
          <w:i/>
        </w:rPr>
        <w:t>Philosophy and Theology</w:t>
      </w:r>
      <w:r>
        <w:rPr>
          <w:i/>
        </w:rPr>
        <w:t>,</w:t>
      </w:r>
      <w:r w:rsidRPr="007B4815">
        <w:rPr>
          <w:i/>
        </w:rPr>
        <w:t xml:space="preserve"> </w:t>
      </w:r>
      <w:r w:rsidRPr="007B4815">
        <w:t>13</w:t>
      </w:r>
      <w:r>
        <w:t>,</w:t>
      </w:r>
      <w:r w:rsidRPr="007B4815">
        <w:t xml:space="preserve"> 1</w:t>
      </w:r>
      <w:r>
        <w:t xml:space="preserve"> pp.</w:t>
      </w:r>
      <w:r w:rsidRPr="007B4815">
        <w:t xml:space="preserve"> 3-51.</w:t>
      </w:r>
    </w:p>
    <w:p w:rsidR="002D463E" w:rsidRPr="007B4815" w:rsidRDefault="002D463E" w:rsidP="009C250F">
      <w:pPr>
        <w:pStyle w:val="References"/>
      </w:pPr>
    </w:p>
    <w:p w:rsidR="002D463E" w:rsidRPr="007B4815" w:rsidRDefault="002D463E" w:rsidP="009C250F">
      <w:pPr>
        <w:pStyle w:val="References"/>
      </w:pPr>
      <w:r w:rsidRPr="007B4815">
        <w:t>Regan, T.</w:t>
      </w:r>
      <w:r>
        <w:t>,</w:t>
      </w:r>
      <w:r w:rsidRPr="007B4815">
        <w:t xml:space="preserve"> (1983)</w:t>
      </w:r>
      <w:r>
        <w:t>,</w:t>
      </w:r>
      <w:r w:rsidRPr="007B4815">
        <w:t xml:space="preserve"> </w:t>
      </w:r>
      <w:r w:rsidRPr="007B4815">
        <w:rPr>
          <w:i/>
        </w:rPr>
        <w:t>The Case For Animal Rights</w:t>
      </w:r>
      <w:r>
        <w:rPr>
          <w:i/>
        </w:rPr>
        <w:t>,</w:t>
      </w:r>
      <w:r w:rsidRPr="007B4815">
        <w:rPr>
          <w:i/>
        </w:rPr>
        <w:t xml:space="preserve"> </w:t>
      </w:r>
      <w:r w:rsidRPr="007B4815">
        <w:t>Berkeley: University of California</w:t>
      </w:r>
      <w:r w:rsidR="009C250F">
        <w:t xml:space="preserve"> Press. </w:t>
      </w:r>
      <w:r w:rsidRPr="007B4815">
        <w:t>Sharp, H.</w:t>
      </w:r>
      <w:r>
        <w:t>,</w:t>
      </w:r>
      <w:r w:rsidRPr="007B4815">
        <w:t xml:space="preserve"> (2011)</w:t>
      </w:r>
      <w:r>
        <w:t>,</w:t>
      </w:r>
      <w:r w:rsidRPr="007B4815">
        <w:t xml:space="preserve"> </w:t>
      </w:r>
      <w:r w:rsidRPr="007B4815">
        <w:rPr>
          <w:i/>
        </w:rPr>
        <w:t>Spinoza and the Politics of Renaturalization</w:t>
      </w:r>
      <w:r>
        <w:t>,</w:t>
      </w:r>
      <w:r w:rsidRPr="007B4815">
        <w:t xml:space="preserve"> Chicago: Chicago University</w:t>
      </w:r>
      <w:r w:rsidR="009C250F">
        <w:t xml:space="preserve"> </w:t>
      </w:r>
      <w:r w:rsidRPr="007B4815">
        <w:t>Press.</w:t>
      </w:r>
    </w:p>
    <w:p w:rsidR="002D463E" w:rsidRDefault="002D463E" w:rsidP="009C250F">
      <w:pPr>
        <w:pStyle w:val="References"/>
      </w:pPr>
    </w:p>
    <w:p w:rsidR="002D463E" w:rsidRPr="007B4815" w:rsidRDefault="002D463E" w:rsidP="009C250F">
      <w:pPr>
        <w:pStyle w:val="References"/>
      </w:pPr>
      <w:r w:rsidRPr="007B4815">
        <w:t>Spinoza, B.</w:t>
      </w:r>
      <w:r>
        <w:t>,</w:t>
      </w:r>
      <w:r w:rsidRPr="007B4815">
        <w:t xml:space="preserve"> (1985)</w:t>
      </w:r>
      <w:r>
        <w:t>,</w:t>
      </w:r>
      <w:r w:rsidRPr="007B4815">
        <w:t xml:space="preserve"> </w:t>
      </w:r>
      <w:r w:rsidRPr="007B4815">
        <w:rPr>
          <w:i/>
        </w:rPr>
        <w:t>The Collected Works, vol. 1</w:t>
      </w:r>
      <w:r>
        <w:t>,</w:t>
      </w:r>
      <w:r w:rsidRPr="007B4815">
        <w:t xml:space="preserve"> </w:t>
      </w:r>
      <w:r>
        <w:t>Curley, E.M., (ed.),</w:t>
      </w:r>
      <w:r w:rsidRPr="007B4815">
        <w:t xml:space="preserve"> Princeton: </w:t>
      </w:r>
      <w:smartTag w:uri="urn:schemas-microsoft-com:office:smarttags" w:element="place">
        <w:smartTag w:uri="urn:schemas-microsoft-com:office:smarttags" w:element="PlaceName">
          <w:r w:rsidRPr="007B4815">
            <w:t>Princeton</w:t>
          </w:r>
        </w:smartTag>
        <w:r>
          <w:t xml:space="preserve"> </w:t>
        </w:r>
        <w:smartTag w:uri="urn:schemas-microsoft-com:office:smarttags" w:element="PlaceType">
          <w:r>
            <w:t>University</w:t>
          </w:r>
        </w:smartTag>
      </w:smartTag>
      <w:r>
        <w:t xml:space="preserve"> Press</w:t>
      </w:r>
    </w:p>
    <w:p w:rsidR="002D463E" w:rsidRDefault="002D463E" w:rsidP="009C250F">
      <w:pPr>
        <w:pStyle w:val="References"/>
      </w:pPr>
    </w:p>
    <w:p w:rsidR="002D463E" w:rsidRPr="007B4815" w:rsidRDefault="002D463E" w:rsidP="009C250F">
      <w:pPr>
        <w:pStyle w:val="References"/>
      </w:pPr>
      <w:r w:rsidRPr="007B4815">
        <w:t>Spinoza, B.</w:t>
      </w:r>
      <w:r>
        <w:t>,</w:t>
      </w:r>
      <w:r w:rsidRPr="007B4815">
        <w:t xml:space="preserve"> (1995)</w:t>
      </w:r>
      <w:r>
        <w:t>,</w:t>
      </w:r>
      <w:r w:rsidRPr="007B4815">
        <w:t xml:space="preserve"> </w:t>
      </w:r>
      <w:r w:rsidRPr="007B4815">
        <w:rPr>
          <w:i/>
        </w:rPr>
        <w:t>The Letters</w:t>
      </w:r>
      <w:r>
        <w:rPr>
          <w:i/>
        </w:rPr>
        <w:t>,</w:t>
      </w:r>
      <w:r w:rsidRPr="007B4815">
        <w:rPr>
          <w:i/>
        </w:rPr>
        <w:t xml:space="preserve"> </w:t>
      </w:r>
      <w:r>
        <w:t>Shirley, S. (trans.),</w:t>
      </w:r>
      <w:r w:rsidRPr="007B4815">
        <w:t xml:space="preserve"> </w:t>
      </w:r>
      <w:smartTag w:uri="urn:schemas-microsoft-com:office:smarttags" w:element="place">
        <w:smartTag w:uri="urn:schemas-microsoft-com:office:smarttags" w:element="City">
          <w:r w:rsidRPr="007B4815">
            <w:t>Indianapolis</w:t>
          </w:r>
        </w:smartTag>
        <w:r w:rsidRPr="007B4815">
          <w:t xml:space="preserve">, </w:t>
        </w:r>
        <w:smartTag w:uri="urn:schemas-microsoft-com:office:smarttags" w:element="State">
          <w:r w:rsidRPr="007B4815">
            <w:t>IN</w:t>
          </w:r>
        </w:smartTag>
      </w:smartTag>
      <w:r w:rsidRPr="007B4815">
        <w:t>: Hackett.</w:t>
      </w:r>
    </w:p>
    <w:p w:rsidR="002D463E" w:rsidRPr="007B4815" w:rsidRDefault="002D463E" w:rsidP="009C250F">
      <w:pPr>
        <w:pStyle w:val="References"/>
      </w:pPr>
    </w:p>
    <w:p w:rsidR="002D463E" w:rsidRPr="007B4815" w:rsidRDefault="002D463E" w:rsidP="009C250F">
      <w:pPr>
        <w:pStyle w:val="References"/>
      </w:pPr>
      <w:r w:rsidRPr="007B4815">
        <w:t>Spinoza, B.</w:t>
      </w:r>
      <w:r>
        <w:t>.</w:t>
      </w:r>
      <w:r w:rsidRPr="007B4815">
        <w:t xml:space="preserve"> (2000 [1675/7])</w:t>
      </w:r>
      <w:r>
        <w:t>,</w:t>
      </w:r>
      <w:r w:rsidRPr="007B4815">
        <w:t xml:space="preserve"> </w:t>
      </w:r>
      <w:r w:rsidRPr="007B4815">
        <w:rPr>
          <w:i/>
        </w:rPr>
        <w:t>Political Treatise</w:t>
      </w:r>
      <w:r>
        <w:t>,</w:t>
      </w:r>
      <w:r w:rsidRPr="007B4815">
        <w:t xml:space="preserve"> </w:t>
      </w:r>
      <w:r>
        <w:t>Shirley, S. (trans.),</w:t>
      </w:r>
      <w:r w:rsidRPr="007B4815">
        <w:t xml:space="preserve"> </w:t>
      </w:r>
      <w:smartTag w:uri="urn:schemas-microsoft-com:office:smarttags" w:element="place">
        <w:smartTag w:uri="urn:schemas-microsoft-com:office:smarttags" w:element="City">
          <w:r w:rsidRPr="007B4815">
            <w:t>Indianapolis</w:t>
          </w:r>
        </w:smartTag>
        <w:r w:rsidRPr="007B4815">
          <w:t xml:space="preserve">, </w:t>
        </w:r>
        <w:smartTag w:uri="urn:schemas-microsoft-com:office:smarttags" w:element="State">
          <w:r w:rsidRPr="007B4815">
            <w:t>IN</w:t>
          </w:r>
        </w:smartTag>
      </w:smartTag>
      <w:r w:rsidRPr="007B4815">
        <w:t>: Hackett.</w:t>
      </w:r>
    </w:p>
    <w:p w:rsidR="002D463E" w:rsidRPr="007B4815" w:rsidRDefault="002D463E" w:rsidP="009C250F">
      <w:pPr>
        <w:pStyle w:val="References"/>
      </w:pPr>
    </w:p>
    <w:p w:rsidR="002D463E" w:rsidRPr="007B4815" w:rsidRDefault="002D463E" w:rsidP="009C250F">
      <w:pPr>
        <w:pStyle w:val="References"/>
      </w:pPr>
      <w:r w:rsidRPr="007B4815">
        <w:t>Spinoza, B.</w:t>
      </w:r>
      <w:r>
        <w:t>,</w:t>
      </w:r>
      <w:r w:rsidRPr="007B4815">
        <w:t xml:space="preserve"> (2007 [1670])</w:t>
      </w:r>
      <w:r>
        <w:t>,</w:t>
      </w:r>
      <w:r w:rsidRPr="007B4815">
        <w:t xml:space="preserve"> </w:t>
      </w:r>
      <w:r w:rsidRPr="007B4815">
        <w:rPr>
          <w:i/>
        </w:rPr>
        <w:t xml:space="preserve">Theological-Political </w:t>
      </w:r>
      <w:smartTag w:uri="urn:schemas-microsoft-com:office:smarttags" w:element="City">
        <w:r w:rsidRPr="007B4815">
          <w:rPr>
            <w:i/>
          </w:rPr>
          <w:t>Treatise</w:t>
        </w:r>
      </w:smartTag>
      <w:r>
        <w:t>,</w:t>
      </w:r>
      <w:r w:rsidRPr="007B4815">
        <w:t xml:space="preserve"> </w:t>
      </w:r>
      <w:smartTag w:uri="urn:schemas-microsoft-com:office:smarttags" w:element="country-region">
        <w:r>
          <w:t>Israel</w:t>
        </w:r>
      </w:smartTag>
      <w:r>
        <w:t>, J., Silverthorne, M., (trans.),</w:t>
      </w:r>
      <w:r w:rsidRPr="007B4815">
        <w:t xml:space="preserve"> </w:t>
      </w:r>
      <w:smartTag w:uri="urn:schemas-microsoft-com:office:smarttags" w:element="place">
        <w:smartTag w:uri="urn:schemas-microsoft-com:office:smarttags" w:element="PlaceName">
          <w:smartTag w:uri="urn:schemas-microsoft-com:office:smarttags" w:element="City">
            <w:r w:rsidRPr="007B4815">
              <w:t>Cambridge</w:t>
            </w:r>
          </w:smartTag>
        </w:smartTag>
        <w:r w:rsidRPr="007B4815">
          <w:t xml:space="preserve"> </w:t>
        </w:r>
        <w:smartTag w:uri="urn:schemas-microsoft-com:office:smarttags" w:element="PlaceType">
          <w:r>
            <w:t>University</w:t>
          </w:r>
        </w:smartTag>
      </w:smartTag>
      <w:r>
        <w:t xml:space="preserve"> Press.</w:t>
      </w:r>
    </w:p>
    <w:p w:rsidR="002D463E" w:rsidRPr="007B4815" w:rsidRDefault="002D463E" w:rsidP="009C250F">
      <w:pPr>
        <w:pStyle w:val="References"/>
      </w:pPr>
    </w:p>
    <w:p w:rsidR="002D463E" w:rsidRPr="007B4815" w:rsidRDefault="002D463E" w:rsidP="009C250F">
      <w:pPr>
        <w:pStyle w:val="References"/>
      </w:pPr>
      <w:r w:rsidRPr="007B4815">
        <w:t>Vrooman, J.</w:t>
      </w:r>
      <w:r>
        <w:t>,</w:t>
      </w:r>
      <w:r w:rsidRPr="007B4815">
        <w:t xml:space="preserve"> (1970)</w:t>
      </w:r>
      <w:r>
        <w:t>,</w:t>
      </w:r>
      <w:r w:rsidRPr="007B4815">
        <w:t xml:space="preserve"> </w:t>
      </w:r>
      <w:r w:rsidRPr="007B4815">
        <w:rPr>
          <w:i/>
        </w:rPr>
        <w:t>René Descartes: A Biography</w:t>
      </w:r>
      <w:r>
        <w:rPr>
          <w:i/>
        </w:rPr>
        <w:t xml:space="preserve">, </w:t>
      </w:r>
      <w:smartTag w:uri="urn:schemas-microsoft-com:office:smarttags" w:element="State">
        <w:smartTag w:uri="urn:schemas-microsoft-com:office:smarttags" w:element="place">
          <w:r w:rsidRPr="007B4815">
            <w:t>New York</w:t>
          </w:r>
        </w:smartTag>
      </w:smartTag>
      <w:r w:rsidRPr="007B4815">
        <w:t xml:space="preserve">: Putnam. </w:t>
      </w:r>
    </w:p>
    <w:p w:rsidR="002D463E" w:rsidRPr="007B4815" w:rsidRDefault="002D463E" w:rsidP="009C250F">
      <w:pPr>
        <w:pStyle w:val="References"/>
      </w:pPr>
    </w:p>
    <w:p w:rsidR="002D463E" w:rsidRDefault="002D463E" w:rsidP="009C250F">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rsidRPr="007B4815">
        <w:t>Wolloch, N.</w:t>
      </w:r>
      <w:r>
        <w:t>,</w:t>
      </w:r>
      <w:r w:rsidRPr="007B4815">
        <w:t xml:space="preserve"> (2006)</w:t>
      </w:r>
      <w:r>
        <w:t>,</w:t>
      </w:r>
      <w:r w:rsidRPr="007B4815">
        <w:t xml:space="preserve"> </w:t>
      </w:r>
      <w:r w:rsidRPr="007B4815">
        <w:rPr>
          <w:i/>
        </w:rPr>
        <w:t>Subjugated Animals: Animals and A</w:t>
      </w:r>
      <w:r>
        <w:rPr>
          <w:i/>
        </w:rPr>
        <w:t xml:space="preserve">nthropocentrism in Early Modern </w:t>
      </w:r>
      <w:r w:rsidRPr="007B4815">
        <w:rPr>
          <w:i/>
        </w:rPr>
        <w:t>European Culture</w:t>
      </w:r>
      <w:r>
        <w:rPr>
          <w:i/>
        </w:rPr>
        <w:t>,</w:t>
      </w:r>
      <w:r w:rsidRPr="007B4815">
        <w:t xml:space="preserve"> New York: Humanity Books.</w:t>
      </w:r>
    </w:p>
    <w:p w:rsidR="002D463E" w:rsidRPr="00C0123E" w:rsidRDefault="002D463E" w:rsidP="00F63083">
      <w:pPr>
        <w:pStyle w:val="Heading1"/>
      </w:pPr>
      <w:bookmarkStart w:id="79" w:name="_Toc292202631"/>
      <w:r w:rsidRPr="00C0123E">
        <w:t>The Status of Animality in Deleuze’s Thought</w:t>
      </w:r>
      <w:bookmarkEnd w:id="79"/>
    </w:p>
    <w:p w:rsidR="002D463E" w:rsidRPr="00C0123E" w:rsidRDefault="002D463E" w:rsidP="00D31806"/>
    <w:p w:rsidR="002D463E" w:rsidRPr="00C0123E" w:rsidRDefault="002D463E" w:rsidP="00F63083">
      <w:pPr>
        <w:pStyle w:val="Heading1"/>
      </w:pPr>
      <w:bookmarkStart w:id="80" w:name="_Toc292202632"/>
      <w:r w:rsidRPr="00C0123E">
        <w:t>Alain Beaulieu</w:t>
      </w:r>
      <w:r>
        <w:rPr>
          <w:rStyle w:val="FootnoteReference"/>
          <w:b w:val="0"/>
          <w:sz w:val="32"/>
          <w:szCs w:val="32"/>
        </w:rPr>
        <w:footnoteReference w:id="22"/>
      </w:r>
      <w:bookmarkEnd w:id="80"/>
    </w:p>
    <w:p w:rsidR="002D463E" w:rsidRDefault="002D463E" w:rsidP="002D463E">
      <w:pPr>
        <w:tabs>
          <w:tab w:val="left" w:pos="2268"/>
        </w:tabs>
        <w:rPr>
          <w:lang w:val="en-CA"/>
        </w:rPr>
      </w:pPr>
    </w:p>
    <w:p w:rsidR="002D463E" w:rsidRPr="00C0123E" w:rsidRDefault="002D463E" w:rsidP="002D463E">
      <w:pPr>
        <w:tabs>
          <w:tab w:val="left" w:pos="2268"/>
        </w:tabs>
        <w:rPr>
          <w:lang w:val="en-CA"/>
        </w:rPr>
      </w:pPr>
      <w:r w:rsidRPr="00C0123E">
        <w:rPr>
          <w:lang w:val="en-CA"/>
        </w:rPr>
        <w:t xml:space="preserve">“We love nature the less humanly it behaves, </w:t>
      </w:r>
    </w:p>
    <w:p w:rsidR="002D463E" w:rsidRPr="00C0123E" w:rsidRDefault="002D463E" w:rsidP="002D463E">
      <w:pPr>
        <w:tabs>
          <w:tab w:val="left" w:pos="2268"/>
        </w:tabs>
        <w:rPr>
          <w:lang w:val="en-CA"/>
        </w:rPr>
      </w:pPr>
      <w:r w:rsidRPr="00C0123E">
        <w:rPr>
          <w:lang w:val="en-CA"/>
        </w:rPr>
        <w:t xml:space="preserve">and art when it is the artist’s escape from man, </w:t>
      </w:r>
    </w:p>
    <w:p w:rsidR="002D463E" w:rsidRPr="00C0123E" w:rsidRDefault="002D463E" w:rsidP="002D463E">
      <w:pPr>
        <w:tabs>
          <w:tab w:val="left" w:pos="2268"/>
        </w:tabs>
        <w:rPr>
          <w:lang w:val="en-CA"/>
        </w:rPr>
      </w:pPr>
      <w:r w:rsidRPr="00C0123E">
        <w:rPr>
          <w:lang w:val="en-CA"/>
        </w:rPr>
        <w:t xml:space="preserve">or the artist’s mockery of man, </w:t>
      </w:r>
    </w:p>
    <w:p w:rsidR="002D463E" w:rsidRPr="00C0123E" w:rsidRDefault="002D463E" w:rsidP="002D463E">
      <w:pPr>
        <w:tabs>
          <w:tab w:val="left" w:pos="2268"/>
        </w:tabs>
        <w:rPr>
          <w:lang w:val="en-CA"/>
        </w:rPr>
      </w:pPr>
      <w:r w:rsidRPr="00C0123E">
        <w:rPr>
          <w:lang w:val="en-CA"/>
        </w:rPr>
        <w:t>or the artist’s mockery of himself.”</w:t>
      </w:r>
    </w:p>
    <w:p w:rsidR="002D463E" w:rsidRDefault="002D463E" w:rsidP="002D463E">
      <w:pPr>
        <w:tabs>
          <w:tab w:val="left" w:pos="2268"/>
        </w:tabs>
        <w:rPr>
          <w:lang w:val="en-CA"/>
        </w:rPr>
      </w:pPr>
      <w:r w:rsidRPr="00C0123E">
        <w:rPr>
          <w:lang w:val="en-CA"/>
        </w:rPr>
        <w:t>(F. Nietzsche,</w:t>
      </w:r>
      <w:r w:rsidRPr="00C0123E">
        <w:rPr>
          <w:i/>
          <w:lang w:val="en-CA"/>
        </w:rPr>
        <w:t xml:space="preserve"> The Gay Science</w:t>
      </w:r>
      <w:r w:rsidRPr="00C0123E">
        <w:rPr>
          <w:lang w:val="en-CA"/>
        </w:rPr>
        <w:t>, §379)</w:t>
      </w:r>
    </w:p>
    <w:p w:rsidR="002D463E" w:rsidRPr="00C0123E" w:rsidRDefault="002D463E" w:rsidP="002D463E">
      <w:pPr>
        <w:tabs>
          <w:tab w:val="left" w:pos="2268"/>
        </w:tabs>
        <w:rPr>
          <w:lang w:val="en-CA"/>
        </w:rPr>
      </w:pPr>
    </w:p>
    <w:p w:rsidR="002D463E" w:rsidRPr="00F54D07" w:rsidRDefault="002D463E" w:rsidP="002D463E">
      <w:pPr>
        <w:tabs>
          <w:tab w:val="left" w:pos="2268"/>
        </w:tabs>
        <w:rPr>
          <w:lang w:val="fr-FR"/>
        </w:rPr>
      </w:pPr>
      <w:r w:rsidRPr="00F54D07">
        <w:rPr>
          <w:lang w:val="fr-FR"/>
        </w:rPr>
        <w:t xml:space="preserve">“Animality is an exercise.” </w:t>
      </w:r>
    </w:p>
    <w:p w:rsidR="002D463E" w:rsidRPr="00F54D07" w:rsidRDefault="002D463E" w:rsidP="002D463E">
      <w:pPr>
        <w:tabs>
          <w:tab w:val="left" w:pos="2268"/>
        </w:tabs>
        <w:rPr>
          <w:lang w:val="fr-FR"/>
        </w:rPr>
      </w:pPr>
      <w:r w:rsidRPr="00F54D07">
        <w:rPr>
          <w:lang w:val="fr-FR"/>
        </w:rPr>
        <w:t xml:space="preserve">(M. Foucault, </w:t>
      </w:r>
      <w:r w:rsidRPr="00F54D07">
        <w:rPr>
          <w:i/>
          <w:lang w:val="fr-FR"/>
        </w:rPr>
        <w:t>Le Courage de la vérité</w:t>
      </w:r>
      <w:r w:rsidRPr="00F54D07">
        <w:rPr>
          <w:lang w:val="fr-FR"/>
        </w:rPr>
        <w:t>, March 14 1984)</w:t>
      </w:r>
    </w:p>
    <w:p w:rsidR="002D463E" w:rsidRPr="00F54D07" w:rsidRDefault="002D463E" w:rsidP="002D463E">
      <w:pPr>
        <w:tabs>
          <w:tab w:val="left" w:pos="2268"/>
        </w:tabs>
        <w:rPr>
          <w:lang w:val="fr-FR"/>
        </w:rPr>
      </w:pPr>
    </w:p>
    <w:p w:rsidR="002D463E" w:rsidRPr="00C0123E" w:rsidRDefault="002D463E" w:rsidP="002D463E">
      <w:pPr>
        <w:tabs>
          <w:tab w:val="left" w:pos="2268"/>
        </w:tabs>
        <w:rPr>
          <w:lang w:val="en-CA"/>
        </w:rPr>
      </w:pPr>
      <w:r w:rsidRPr="00C0123E">
        <w:rPr>
          <w:lang w:val="en-CA"/>
        </w:rPr>
        <w:t xml:space="preserve">“We believe in the existence of very special becomings-animal </w:t>
      </w:r>
    </w:p>
    <w:p w:rsidR="002D463E" w:rsidRPr="00C0123E" w:rsidRDefault="002D463E" w:rsidP="002D463E">
      <w:pPr>
        <w:tabs>
          <w:tab w:val="left" w:pos="2268"/>
        </w:tabs>
        <w:rPr>
          <w:lang w:val="en-CA"/>
        </w:rPr>
      </w:pPr>
      <w:r w:rsidRPr="00C0123E">
        <w:rPr>
          <w:lang w:val="en-CA"/>
        </w:rPr>
        <w:t xml:space="preserve">traversing human beings and sweeping them away, </w:t>
      </w:r>
    </w:p>
    <w:p w:rsidR="002D463E" w:rsidRPr="00C0123E" w:rsidRDefault="002D463E" w:rsidP="002D463E">
      <w:pPr>
        <w:tabs>
          <w:tab w:val="left" w:pos="2268"/>
        </w:tabs>
        <w:rPr>
          <w:lang w:val="en-CA"/>
        </w:rPr>
      </w:pPr>
      <w:r w:rsidRPr="00C0123E">
        <w:rPr>
          <w:lang w:val="en-CA"/>
        </w:rPr>
        <w:t>affecting the animal no less than the human.”</w:t>
      </w:r>
    </w:p>
    <w:p w:rsidR="002D463E" w:rsidRPr="00C0123E" w:rsidRDefault="002D463E" w:rsidP="002D463E">
      <w:pPr>
        <w:tabs>
          <w:tab w:val="left" w:pos="2268"/>
        </w:tabs>
        <w:rPr>
          <w:lang w:val="en-CA"/>
        </w:rPr>
      </w:pPr>
      <w:r w:rsidRPr="00C0123E">
        <w:rPr>
          <w:lang w:val="en-CA"/>
        </w:rPr>
        <w:t xml:space="preserve">(G. Deleuze &amp; F. Guattari, </w:t>
      </w:r>
      <w:r w:rsidRPr="00C0123E">
        <w:rPr>
          <w:i/>
          <w:lang w:val="en-CA"/>
        </w:rPr>
        <w:t>A Thousand Plateaus</w:t>
      </w:r>
      <w:r w:rsidRPr="00C0123E">
        <w:rPr>
          <w:lang w:val="en-CA"/>
        </w:rPr>
        <w:t>: 237)</w:t>
      </w:r>
    </w:p>
    <w:p w:rsidR="002D463E" w:rsidRPr="0022319A" w:rsidRDefault="002D463E" w:rsidP="002D463E">
      <w:pPr>
        <w:tabs>
          <w:tab w:val="left" w:pos="2268"/>
        </w:tabs>
        <w:rPr>
          <w:lang w:val="en-CA"/>
        </w:rPr>
      </w:pPr>
    </w:p>
    <w:p w:rsidR="002D463E" w:rsidRPr="00BF01A5" w:rsidRDefault="002D463E" w:rsidP="002D463E">
      <w:pPr>
        <w:tabs>
          <w:tab w:val="left" w:pos="2268"/>
        </w:tabs>
        <w:rPr>
          <w:b/>
          <w:lang w:val="en-CA"/>
        </w:rPr>
      </w:pPr>
      <w:r w:rsidRPr="00BF01A5">
        <w:rPr>
          <w:b/>
          <w:lang w:val="en-CA"/>
        </w:rPr>
        <w:t>Introduction</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Animals are omnipresent in Deleuze’s work, and throughout Deleuze and Guattari’s common body of work: the tick’s world, the assemblage (</w:t>
      </w:r>
      <w:r w:rsidRPr="0022319A">
        <w:rPr>
          <w:i/>
          <w:lang w:val="en-CA"/>
        </w:rPr>
        <w:t>agencement</w:t>
      </w:r>
      <w:r w:rsidRPr="0022319A">
        <w:rPr>
          <w:lang w:val="en-CA"/>
        </w:rPr>
        <w:t>) of the wasp and orchid, the spider’s prehension of the fly, the cat who knows better than the human how to die, the multiplicity of the wolf, the affects of Little Hans’ horse, spiny lobsters’ nomadism and bird-artists. Insects, mammals, crustaceans and birds are such an integral part of Deleuzian and Deleuzo-Guattarian thought that these thinkers even created a concept in these animals’ honor: the becoming-animal.</w:t>
      </w:r>
    </w:p>
    <w:p w:rsidR="002D463E" w:rsidRDefault="002D463E" w:rsidP="002D463E">
      <w:pPr>
        <w:tabs>
          <w:tab w:val="left" w:pos="2268"/>
        </w:tabs>
        <w:rPr>
          <w:lang w:val="en-CA"/>
        </w:rPr>
      </w:pPr>
    </w:p>
    <w:p w:rsidR="002D463E" w:rsidRDefault="002D463E" w:rsidP="002D463E">
      <w:pPr>
        <w:tabs>
          <w:tab w:val="left" w:pos="2268"/>
        </w:tabs>
        <w:rPr>
          <w:color w:val="000000"/>
          <w:lang w:val="en-CA"/>
        </w:rPr>
      </w:pPr>
      <w:r w:rsidRPr="0022319A">
        <w:rPr>
          <w:lang w:val="en-CA"/>
        </w:rPr>
        <w:t>It is well known that this exploration of animality invites a de-anthropomorphization of the relationships between humans and animals</w:t>
      </w:r>
      <w:r w:rsidRPr="0022319A" w:rsidDel="00C10BA9">
        <w:rPr>
          <w:lang w:val="en-CA"/>
        </w:rPr>
        <w:t xml:space="preserve"> </w:t>
      </w:r>
      <w:r w:rsidRPr="0022319A">
        <w:rPr>
          <w:lang w:val="en-CA"/>
        </w:rPr>
        <w:t xml:space="preserve">in favor of an undomesticated type of relationship. Deleuze </w:t>
      </w:r>
      <w:r>
        <w:rPr>
          <w:lang w:val="en-CA"/>
        </w:rPr>
        <w:t>makes</w:t>
      </w:r>
      <w:r w:rsidRPr="0022319A">
        <w:rPr>
          <w:lang w:val="en-CA"/>
        </w:rPr>
        <w:t xml:space="preserve"> some very sarcastic remarks about domestic</w:t>
      </w:r>
      <w:r>
        <w:rPr>
          <w:lang w:val="en-CA"/>
        </w:rPr>
        <w:t>ated</w:t>
      </w:r>
      <w:r w:rsidRPr="0022319A">
        <w:rPr>
          <w:lang w:val="en-CA"/>
        </w:rPr>
        <w:t xml:space="preserve"> animals, such as the dog whose barking warns </w:t>
      </w:r>
      <w:r>
        <w:rPr>
          <w:lang w:val="en-CA"/>
        </w:rPr>
        <w:t>her</w:t>
      </w:r>
      <w:r w:rsidRPr="0022319A">
        <w:rPr>
          <w:lang w:val="en-CA"/>
        </w:rPr>
        <w:t xml:space="preserve"> master of the approaching stranger or the “rubbing” of the cat</w:t>
      </w:r>
      <w:r w:rsidRPr="0022319A">
        <w:rPr>
          <w:color w:val="000000"/>
          <w:lang w:val="en-CA"/>
        </w:rPr>
        <w:t xml:space="preserve"> who over-demonstrates </w:t>
      </w:r>
      <w:r>
        <w:rPr>
          <w:color w:val="000000"/>
          <w:lang w:val="en-CA"/>
        </w:rPr>
        <w:t>his</w:t>
      </w:r>
      <w:r w:rsidRPr="0022319A">
        <w:rPr>
          <w:color w:val="000000"/>
          <w:lang w:val="en-CA"/>
        </w:rPr>
        <w:t xml:space="preserve"> familiarity. Both Deleuze and Guattari seem to prefer wild animals. However, as we will see, it is not that simple. </w:t>
      </w:r>
    </w:p>
    <w:p w:rsidR="002D463E" w:rsidRPr="0022319A" w:rsidRDefault="002D463E" w:rsidP="002D463E">
      <w:pPr>
        <w:tabs>
          <w:tab w:val="left" w:pos="2268"/>
        </w:tabs>
        <w:rPr>
          <w:lang w:val="en-CA"/>
        </w:rPr>
      </w:pPr>
    </w:p>
    <w:p w:rsidR="002D463E" w:rsidRPr="0022319A" w:rsidRDefault="002D463E" w:rsidP="00E35253">
      <w:pPr>
        <w:pStyle w:val="Heading3"/>
        <w:rPr>
          <w:lang w:val="en-CA"/>
        </w:rPr>
      </w:pPr>
      <w:r w:rsidRPr="0022319A">
        <w:rPr>
          <w:lang w:val="en-CA"/>
        </w:rPr>
        <w:t>“A” as in “Animal”</w:t>
      </w:r>
    </w:p>
    <w:p w:rsidR="002D463E" w:rsidRDefault="002D463E" w:rsidP="002D463E">
      <w:pPr>
        <w:tabs>
          <w:tab w:val="left" w:pos="2268"/>
        </w:tabs>
        <w:rPr>
          <w:lang w:val="en-CA"/>
        </w:rPr>
      </w:pPr>
    </w:p>
    <w:p w:rsidR="002D463E" w:rsidRPr="0022319A" w:rsidRDefault="002D463E" w:rsidP="002D463E">
      <w:pPr>
        <w:tabs>
          <w:tab w:val="left" w:pos="2268"/>
        </w:tabs>
        <w:rPr>
          <w:color w:val="000000"/>
          <w:lang w:val="en-CA"/>
        </w:rPr>
      </w:pPr>
      <w:r w:rsidRPr="0022319A">
        <w:rPr>
          <w:lang w:val="en-CA"/>
        </w:rPr>
        <w:t xml:space="preserve">The </w:t>
      </w:r>
      <w:r w:rsidRPr="0022319A">
        <w:rPr>
          <w:i/>
          <w:lang w:val="en-CA"/>
        </w:rPr>
        <w:t>Abécédaire</w:t>
      </w:r>
      <w:r w:rsidRPr="0022319A">
        <w:rPr>
          <w:lang w:val="en-CA"/>
        </w:rPr>
        <w:t xml:space="preserve"> (Deleuze 2004a) naturally begins with</w:t>
      </w:r>
      <w:r>
        <w:rPr>
          <w:lang w:val="en-CA"/>
        </w:rPr>
        <w:t xml:space="preserve"> the</w:t>
      </w:r>
      <w:r w:rsidRPr="0022319A">
        <w:rPr>
          <w:lang w:val="en-CA"/>
        </w:rPr>
        <w:t xml:space="preserve"> letter A; in </w:t>
      </w:r>
      <w:r w:rsidRPr="0022319A">
        <w:rPr>
          <w:i/>
          <w:lang w:val="en-CA"/>
        </w:rPr>
        <w:t>“A” as in “Animal”</w:t>
      </w:r>
      <w:r w:rsidRPr="0022319A">
        <w:rPr>
          <w:lang w:val="en-CA"/>
        </w:rPr>
        <w:t xml:space="preserve"> Claire Parnet </w:t>
      </w:r>
      <w:r w:rsidRPr="0022319A">
        <w:rPr>
          <w:color w:val="000000"/>
          <w:lang w:val="en-CA"/>
        </w:rPr>
        <w:t>questions Deleuze on his rather curious bestiary</w:t>
      </w:r>
      <w:r w:rsidRPr="0022319A">
        <w:rPr>
          <w:lang w:val="en-CA"/>
        </w:rPr>
        <w:t xml:space="preserve">. Deleuze replies that he is sensitive to something in animals and cannot stand them when they become too familiar. He candidly admits </w:t>
      </w:r>
      <w:r>
        <w:rPr>
          <w:lang w:val="en-CA"/>
        </w:rPr>
        <w:t xml:space="preserve">to </w:t>
      </w:r>
      <w:r w:rsidRPr="0022319A">
        <w:rPr>
          <w:lang w:val="en-CA"/>
        </w:rPr>
        <w:t>not liking “rubb</w:t>
      </w:r>
      <w:r>
        <w:rPr>
          <w:lang w:val="en-CA"/>
        </w:rPr>
        <w:t>ers</w:t>
      </w:r>
      <w:r w:rsidRPr="0022319A">
        <w:rPr>
          <w:lang w:val="en-CA"/>
        </w:rPr>
        <w:t>” (</w:t>
      </w:r>
      <w:r w:rsidRPr="0022319A">
        <w:rPr>
          <w:i/>
          <w:lang w:val="en-CA"/>
        </w:rPr>
        <w:t>frotteurs</w:t>
      </w:r>
      <w:r w:rsidRPr="0022319A">
        <w:rPr>
          <w:lang w:val="en-CA"/>
        </w:rPr>
        <w:t xml:space="preserve">) or the canine barking he considers “the shame of the animal kingdom.” </w:t>
      </w:r>
      <w:r w:rsidRPr="0022319A">
        <w:rPr>
          <w:color w:val="000000"/>
          <w:lang w:val="en-CA"/>
        </w:rPr>
        <w:t xml:space="preserve">He claims to better tolerate the wolf howling at the moon. </w:t>
      </w:r>
    </w:p>
    <w:p w:rsidR="002D463E" w:rsidRDefault="002D463E" w:rsidP="002D463E">
      <w:pPr>
        <w:tabs>
          <w:tab w:val="left" w:pos="2268"/>
        </w:tabs>
        <w:rPr>
          <w:color w:val="000000"/>
          <w:lang w:val="en-CA"/>
        </w:rPr>
      </w:pPr>
    </w:p>
    <w:p w:rsidR="002D463E" w:rsidRPr="0022319A" w:rsidRDefault="002D463E" w:rsidP="002D463E">
      <w:pPr>
        <w:tabs>
          <w:tab w:val="left" w:pos="2268"/>
        </w:tabs>
        <w:rPr>
          <w:color w:val="000000"/>
          <w:lang w:val="en-CA"/>
        </w:rPr>
      </w:pPr>
      <w:r w:rsidRPr="00056111">
        <w:rPr>
          <w:color w:val="000000"/>
          <w:lang w:val="en-CA"/>
        </w:rPr>
        <w:t xml:space="preserve">Deleuze goes on to say that </w:t>
      </w:r>
      <w:r>
        <w:rPr>
          <w:color w:val="000000"/>
          <w:lang w:val="en-CA"/>
        </w:rPr>
        <w:t xml:space="preserve">pet lovers </w:t>
      </w:r>
      <w:r w:rsidRPr="00056111">
        <w:rPr>
          <w:color w:val="000000"/>
          <w:lang w:val="en-CA"/>
        </w:rPr>
        <w:t>have human relationships with their animal companions, and considers it “frightening" (</w:t>
      </w:r>
      <w:r w:rsidRPr="00056111">
        <w:rPr>
          <w:i/>
          <w:color w:val="000000"/>
          <w:lang w:val="en-CA"/>
        </w:rPr>
        <w:t>effarant</w:t>
      </w:r>
      <w:r w:rsidRPr="00056111">
        <w:rPr>
          <w:color w:val="000000"/>
          <w:lang w:val="en-CA"/>
        </w:rPr>
        <w:t>) how people talk to their dogs as they walk down the street as if the animal were a child.</w:t>
      </w:r>
      <w:r>
        <w:rPr>
          <w:color w:val="000000"/>
          <w:lang w:val="en-CA"/>
        </w:rPr>
        <w:t xml:space="preserve"> What is</w:t>
      </w:r>
      <w:r w:rsidRPr="0022319A">
        <w:rPr>
          <w:color w:val="000000"/>
          <w:lang w:val="en-CA"/>
        </w:rPr>
        <w:t xml:space="preserve"> most important, says Deleuze, is to have an “animal relationship with animals” (</w:t>
      </w:r>
      <w:r w:rsidRPr="0022319A">
        <w:rPr>
          <w:i/>
          <w:color w:val="000000"/>
          <w:lang w:val="en-CA"/>
        </w:rPr>
        <w:t>une relation animale avec l’animal</w:t>
      </w:r>
      <w:r w:rsidRPr="0022319A">
        <w:rPr>
          <w:color w:val="000000"/>
          <w:lang w:val="en-CA"/>
        </w:rPr>
        <w:t xml:space="preserve">). He holds psychoanalysis partly responsible for this symbolic reduction of the animal to a family member and shows a greater empathy for hunters who have a non-human (i.e., animal) relationship with their prey. </w:t>
      </w:r>
    </w:p>
    <w:p w:rsidR="002D463E" w:rsidRDefault="002D463E" w:rsidP="002D463E">
      <w:pPr>
        <w:tabs>
          <w:tab w:val="left" w:pos="2268"/>
        </w:tabs>
        <w:rPr>
          <w:color w:val="000000"/>
          <w:lang w:val="en-CA"/>
        </w:rPr>
      </w:pPr>
    </w:p>
    <w:p w:rsidR="002D463E" w:rsidRPr="0022319A" w:rsidRDefault="002D463E" w:rsidP="002D463E">
      <w:pPr>
        <w:tabs>
          <w:tab w:val="left" w:pos="2268"/>
        </w:tabs>
        <w:rPr>
          <w:color w:val="000000"/>
          <w:lang w:val="en-CA"/>
        </w:rPr>
      </w:pPr>
      <w:r w:rsidRPr="0022319A">
        <w:rPr>
          <w:color w:val="000000"/>
          <w:lang w:val="en-CA"/>
        </w:rPr>
        <w:t xml:space="preserve">During the interview, Deleuze admits his fascination with spiders, ticks, and fleas; their environment is limited in terms of affects yet it constitutes </w:t>
      </w:r>
      <w:r w:rsidRPr="0022319A">
        <w:rPr>
          <w:i/>
          <w:color w:val="000000"/>
          <w:lang w:val="en-CA"/>
        </w:rPr>
        <w:t>a</w:t>
      </w:r>
      <w:r w:rsidRPr="0022319A">
        <w:rPr>
          <w:color w:val="000000"/>
          <w:lang w:val="en-CA"/>
        </w:rPr>
        <w:t xml:space="preserve"> world. Most probably with Von Uexküll (1957) in mind, he reveals his fascination for the power (</w:t>
      </w:r>
      <w:r w:rsidRPr="0022319A">
        <w:rPr>
          <w:i/>
          <w:color w:val="000000"/>
          <w:lang w:val="en-CA"/>
        </w:rPr>
        <w:t>puissance</w:t>
      </w:r>
      <w:r w:rsidRPr="0022319A">
        <w:rPr>
          <w:color w:val="000000"/>
          <w:lang w:val="en-CA"/>
        </w:rPr>
        <w:t>) of these worlds confined to a small number of stimuli. Animal territories are another fascination for Deleuze. Claiming a territory, he says, is where art began. Staking it out is not just a matter of marking its boundaries, but also and foremost of defining a series of postures, colors and songs that Deleuze associates with the main determining characteristics of the arts: lines, colors, and refrain (</w:t>
      </w:r>
      <w:r w:rsidRPr="0022319A">
        <w:rPr>
          <w:i/>
          <w:color w:val="000000"/>
          <w:lang w:val="en-CA"/>
        </w:rPr>
        <w:t>ritournelle</w:t>
      </w:r>
      <w:r w:rsidRPr="0022319A">
        <w:rPr>
          <w:color w:val="000000"/>
          <w:lang w:val="en-CA"/>
        </w:rPr>
        <w:t>). This leads Deleuze to say that marking a territory is, in fact, “art in its pure state.”</w:t>
      </w:r>
    </w:p>
    <w:p w:rsidR="002D463E" w:rsidRDefault="002D463E" w:rsidP="002D463E">
      <w:pPr>
        <w:tabs>
          <w:tab w:val="left" w:pos="2268"/>
        </w:tabs>
        <w:rPr>
          <w:color w:val="000000"/>
          <w:lang w:val="en-CA"/>
        </w:rPr>
      </w:pPr>
    </w:p>
    <w:p w:rsidR="002D463E" w:rsidRPr="0022319A" w:rsidRDefault="002D463E" w:rsidP="002D463E">
      <w:pPr>
        <w:tabs>
          <w:tab w:val="left" w:pos="2268"/>
        </w:tabs>
        <w:rPr>
          <w:color w:val="000000"/>
          <w:lang w:val="en-CA"/>
        </w:rPr>
      </w:pPr>
      <w:r w:rsidRPr="0022319A">
        <w:rPr>
          <w:color w:val="000000"/>
          <w:lang w:val="en-CA"/>
        </w:rPr>
        <w:t xml:space="preserve">Deleuze then uses the lexical of the territory (de- and re-territorialization) to link the animal world </w:t>
      </w:r>
      <w:r>
        <w:rPr>
          <w:color w:val="000000"/>
          <w:lang w:val="en-CA"/>
        </w:rPr>
        <w:t>to</w:t>
      </w:r>
      <w:r w:rsidRPr="0022319A">
        <w:rPr>
          <w:color w:val="000000"/>
          <w:lang w:val="en-CA"/>
        </w:rPr>
        <w:t xml:space="preserve"> the work of writers and philosophers, all of whom create refrains as they enter and leave their territories. These are translated into “barbaric” words or sounds which are a production of or a reaction to signs. According to Deleuze, these strange words, sounds, or signs necessarily correspond to the affects of leaving the territory (deterritorialization) and settling down elsewhere (reterritorialization). Deleuze connects animal life to the writers or philosophers who must always be “on the lookout” (</w:t>
      </w:r>
      <w:r w:rsidRPr="0022319A">
        <w:rPr>
          <w:i/>
          <w:color w:val="000000"/>
          <w:lang w:val="en-CA"/>
        </w:rPr>
        <w:t>aux aguets</w:t>
      </w:r>
      <w:r w:rsidRPr="0022319A">
        <w:rPr>
          <w:color w:val="000000"/>
          <w:lang w:val="en-CA"/>
        </w:rPr>
        <w:t xml:space="preserve">), never resting, sleeping </w:t>
      </w:r>
      <w:r>
        <w:rPr>
          <w:color w:val="000000"/>
          <w:lang w:val="en-CA"/>
        </w:rPr>
        <w:t xml:space="preserve">with </w:t>
      </w:r>
      <w:r w:rsidRPr="0022319A">
        <w:rPr>
          <w:color w:val="000000"/>
          <w:lang w:val="en-CA"/>
        </w:rPr>
        <w:t>one eye open.</w:t>
      </w:r>
    </w:p>
    <w:p w:rsidR="002D463E" w:rsidRDefault="002D463E" w:rsidP="002D463E">
      <w:pPr>
        <w:tabs>
          <w:tab w:val="left" w:pos="2268"/>
        </w:tabs>
        <w:rPr>
          <w:color w:val="000000"/>
          <w:lang w:val="en-CA"/>
        </w:rPr>
      </w:pPr>
    </w:p>
    <w:p w:rsidR="002D463E" w:rsidRPr="0022319A" w:rsidRDefault="002D463E" w:rsidP="002D463E">
      <w:pPr>
        <w:tabs>
          <w:tab w:val="left" w:pos="2268"/>
        </w:tabs>
        <w:rPr>
          <w:color w:val="000000"/>
          <w:lang w:val="en-CA"/>
        </w:rPr>
      </w:pPr>
      <w:r w:rsidRPr="0022319A">
        <w:rPr>
          <w:color w:val="000000"/>
          <w:lang w:val="en-CA"/>
        </w:rPr>
        <w:t xml:space="preserve">Referring to Artaud, </w:t>
      </w:r>
      <w:r>
        <w:rPr>
          <w:color w:val="000000"/>
          <w:lang w:val="en-CA"/>
        </w:rPr>
        <w:t>Deleuze</w:t>
      </w:r>
      <w:r w:rsidRPr="0022319A">
        <w:rPr>
          <w:color w:val="000000"/>
          <w:lang w:val="en-CA"/>
        </w:rPr>
        <w:t xml:space="preserve"> says one does not write for (</w:t>
      </w:r>
      <w:r w:rsidRPr="0022319A">
        <w:rPr>
          <w:i/>
          <w:color w:val="000000"/>
          <w:lang w:val="en-CA"/>
        </w:rPr>
        <w:t>à l’attention de</w:t>
      </w:r>
      <w:r w:rsidRPr="0022319A">
        <w:rPr>
          <w:color w:val="000000"/>
          <w:lang w:val="en-CA"/>
        </w:rPr>
        <w:t>) but rather in the place of (</w:t>
      </w:r>
      <w:r w:rsidRPr="0022319A">
        <w:rPr>
          <w:i/>
          <w:color w:val="000000"/>
          <w:lang w:val="en-CA"/>
        </w:rPr>
        <w:t>à la place de</w:t>
      </w:r>
      <w:r w:rsidRPr="0022319A">
        <w:rPr>
          <w:color w:val="000000"/>
          <w:lang w:val="en-CA"/>
        </w:rPr>
        <w:t>) readers. One does not write for “inferior” beings to help them progress, but rather in the place of the illiterates—via becoming-illiterate—or the so-called idiots—via becoming-idiots. Deleuze considers thinking and writing as if it were a private affair for a predefined public as simply shameful. Here Deleuze seems to imply that animals, who are pre-civilized, illiterate, and “idiots” according to human standards, intuitively have this capacity to express an impersonal life with its network of affects. On this matter, it would appear that Deleuze grants</w:t>
      </w:r>
      <w:r>
        <w:rPr>
          <w:color w:val="000000"/>
          <w:lang w:val="en-CA"/>
        </w:rPr>
        <w:t xml:space="preserve"> nonhuman</w:t>
      </w:r>
      <w:r w:rsidRPr="0022319A">
        <w:rPr>
          <w:color w:val="000000"/>
          <w:lang w:val="en-CA"/>
        </w:rPr>
        <w:t xml:space="preserve"> animals a privilege over humans, or, at least, </w:t>
      </w:r>
      <w:r>
        <w:rPr>
          <w:color w:val="000000"/>
          <w:lang w:val="en-CA"/>
        </w:rPr>
        <w:t xml:space="preserve">other </w:t>
      </w:r>
      <w:r w:rsidRPr="0022319A">
        <w:rPr>
          <w:color w:val="000000"/>
          <w:lang w:val="en-CA"/>
        </w:rPr>
        <w:t>animals can signal</w:t>
      </w:r>
      <w:r>
        <w:rPr>
          <w:color w:val="000000"/>
          <w:lang w:val="en-CA"/>
        </w:rPr>
        <w:t xml:space="preserve"> to humans</w:t>
      </w:r>
      <w:r w:rsidRPr="0022319A">
        <w:rPr>
          <w:color w:val="000000"/>
          <w:lang w:val="en-CA"/>
        </w:rPr>
        <w:t xml:space="preserve"> how to enter into relationship with inorganic life. Thus, the task of writers and philosophers consists of tuning into the forces of an impersonal life similar to the actions and reactions of an animal in its environment. In doing so, writers and philosophers are able to push language to its limits, to becoming-other, and eventually to writing “in the place of” the animal.</w:t>
      </w:r>
    </w:p>
    <w:p w:rsidR="002D463E" w:rsidRDefault="002D463E" w:rsidP="002D463E">
      <w:pPr>
        <w:tabs>
          <w:tab w:val="left" w:pos="2268"/>
        </w:tabs>
        <w:rPr>
          <w:color w:val="000000"/>
          <w:lang w:val="en-CA"/>
        </w:rPr>
      </w:pPr>
    </w:p>
    <w:p w:rsidR="002D463E" w:rsidRPr="0022319A" w:rsidRDefault="002D463E" w:rsidP="002D463E">
      <w:pPr>
        <w:tabs>
          <w:tab w:val="left" w:pos="2268"/>
        </w:tabs>
        <w:rPr>
          <w:color w:val="000000"/>
          <w:lang w:val="en-CA"/>
        </w:rPr>
      </w:pPr>
      <w:r w:rsidRPr="0022319A">
        <w:rPr>
          <w:color w:val="000000"/>
          <w:lang w:val="en-CA"/>
        </w:rPr>
        <w:t>Finally, Deleuze argues that it is not humans but animals who know how to die. This is because animals seek solitude to live out their last moments with dignity away from the group, on the edge of the territory, and with no expectation of posthumous celebration. One of the writer’s or philosopher’s tasks would then be to experience and describe this link between a dying human and a dying cat, and in doing so, experience the common border separating and yet also unifying humanity and animality.</w:t>
      </w:r>
    </w:p>
    <w:p w:rsidR="002D463E" w:rsidRDefault="002D463E" w:rsidP="002D463E">
      <w:pPr>
        <w:tabs>
          <w:tab w:val="left" w:pos="2268"/>
        </w:tabs>
        <w:rPr>
          <w:color w:val="000000"/>
          <w:lang w:val="en-CA"/>
        </w:rPr>
      </w:pPr>
    </w:p>
    <w:p w:rsidR="0064541B" w:rsidRPr="0022319A" w:rsidRDefault="002D463E" w:rsidP="002D463E">
      <w:pPr>
        <w:tabs>
          <w:tab w:val="left" w:pos="2268"/>
        </w:tabs>
        <w:rPr>
          <w:color w:val="000000"/>
          <w:lang w:val="en-CA"/>
        </w:rPr>
      </w:pPr>
      <w:r w:rsidRPr="0022319A">
        <w:rPr>
          <w:color w:val="000000"/>
          <w:lang w:val="en-CA"/>
        </w:rPr>
        <w:t xml:space="preserve">Despite its relative brevity (about 3 minutes), this part of the </w:t>
      </w:r>
      <w:r w:rsidRPr="0022319A">
        <w:rPr>
          <w:i/>
          <w:color w:val="000000"/>
          <w:lang w:val="en-CA"/>
        </w:rPr>
        <w:t>Abédédaire</w:t>
      </w:r>
      <w:r w:rsidRPr="0022319A">
        <w:rPr>
          <w:color w:val="000000"/>
          <w:lang w:val="en-CA"/>
        </w:rPr>
        <w:t xml:space="preserve"> provides some of the main ideas of Deleuze’s conception of animals, namely: </w:t>
      </w:r>
    </w:p>
    <w:p w:rsidR="002D463E" w:rsidRPr="0022319A" w:rsidRDefault="002D463E" w:rsidP="002D463E">
      <w:pPr>
        <w:tabs>
          <w:tab w:val="left" w:pos="2268"/>
        </w:tabs>
        <w:ind w:left="567"/>
        <w:rPr>
          <w:color w:val="000000"/>
          <w:lang w:val="en-CA"/>
        </w:rPr>
      </w:pPr>
      <w:r w:rsidRPr="0022319A">
        <w:rPr>
          <w:color w:val="000000"/>
          <w:lang w:val="en-CA"/>
        </w:rPr>
        <w:t>-An anti-psychoanalytic perspective through the critique of familialism;</w:t>
      </w:r>
    </w:p>
    <w:p w:rsidR="002D463E" w:rsidRPr="0022319A" w:rsidRDefault="002D463E" w:rsidP="002D463E">
      <w:pPr>
        <w:tabs>
          <w:tab w:val="left" w:pos="2268"/>
        </w:tabs>
        <w:ind w:left="567"/>
        <w:rPr>
          <w:color w:val="000000"/>
          <w:lang w:val="en-CA"/>
        </w:rPr>
      </w:pPr>
      <w:r w:rsidRPr="0022319A">
        <w:rPr>
          <w:color w:val="000000"/>
          <w:lang w:val="en-CA"/>
        </w:rPr>
        <w:t>-An anti-humanistic approach for which the animal behavior becomes exemplary in its capacity to express the power (</w:t>
      </w:r>
      <w:r w:rsidRPr="0022319A">
        <w:rPr>
          <w:i/>
          <w:color w:val="000000"/>
          <w:lang w:val="en-CA"/>
        </w:rPr>
        <w:t>puissance</w:t>
      </w:r>
      <w:r w:rsidRPr="0022319A">
        <w:rPr>
          <w:color w:val="000000"/>
          <w:lang w:val="en-CA"/>
        </w:rPr>
        <w:t>) of an impersonal life;</w:t>
      </w:r>
    </w:p>
    <w:p w:rsidR="002D463E" w:rsidRPr="0022319A" w:rsidRDefault="002D463E" w:rsidP="002D463E">
      <w:pPr>
        <w:tabs>
          <w:tab w:val="left" w:pos="2268"/>
        </w:tabs>
        <w:ind w:left="567"/>
        <w:rPr>
          <w:color w:val="000000"/>
          <w:lang w:val="en-CA"/>
        </w:rPr>
      </w:pPr>
      <w:r w:rsidRPr="0022319A">
        <w:rPr>
          <w:color w:val="000000"/>
          <w:lang w:val="en-CA"/>
        </w:rPr>
        <w:t>-The connections between animal and human creations as they leave their territories and settle down elsewhere;</w:t>
      </w:r>
    </w:p>
    <w:p w:rsidR="002D463E" w:rsidRDefault="002D463E" w:rsidP="002D463E">
      <w:pPr>
        <w:tabs>
          <w:tab w:val="left" w:pos="2268"/>
        </w:tabs>
        <w:ind w:left="567"/>
        <w:rPr>
          <w:color w:val="000000"/>
          <w:lang w:val="en-CA"/>
        </w:rPr>
      </w:pPr>
      <w:r w:rsidRPr="0022319A">
        <w:rPr>
          <w:color w:val="000000"/>
          <w:lang w:val="en-CA"/>
        </w:rPr>
        <w:t>-The becoming-animal of the writer and philosopher.</w:t>
      </w:r>
    </w:p>
    <w:p w:rsidR="002D463E" w:rsidRPr="0022319A" w:rsidRDefault="002D463E" w:rsidP="002D463E">
      <w:pPr>
        <w:tabs>
          <w:tab w:val="left" w:pos="2268"/>
        </w:tabs>
        <w:ind w:left="567"/>
        <w:rPr>
          <w:color w:val="000000"/>
          <w:lang w:val="en-CA"/>
        </w:rPr>
      </w:pPr>
    </w:p>
    <w:p w:rsidR="002D463E" w:rsidRPr="0022319A" w:rsidRDefault="002D463E" w:rsidP="00E35253">
      <w:pPr>
        <w:pStyle w:val="Heading3"/>
        <w:rPr>
          <w:lang w:val="en-CA"/>
        </w:rPr>
      </w:pPr>
      <w:r w:rsidRPr="0022319A">
        <w:rPr>
          <w:lang w:val="en-CA"/>
        </w:rPr>
        <w:t>The animal cannot lie on the psychoanalyst’s couch</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No privilege is granted to humans in the conceptuality of Deleuze and Guattari’s books. Indeed, their main </w:t>
      </w:r>
      <w:r>
        <w:rPr>
          <w:lang w:val="en-CA"/>
        </w:rPr>
        <w:t>concepts</w:t>
      </w:r>
      <w:r w:rsidRPr="0022319A">
        <w:rPr>
          <w:lang w:val="en-CA"/>
        </w:rPr>
        <w:t xml:space="preserve"> (territory, molar/molecular, assemblage, smooth/striated, rhizome, sign refrain, line of flight, etc.) </w:t>
      </w:r>
      <w:r>
        <w:rPr>
          <w:lang w:val="en-CA"/>
        </w:rPr>
        <w:t>hold</w:t>
      </w:r>
      <w:r w:rsidRPr="0022319A">
        <w:rPr>
          <w:lang w:val="en-CA"/>
        </w:rPr>
        <w:t xml:space="preserve"> for the human, the animal, the social, politics and arts alike. By virtue of this original and subversive (should not every philosophy be subversive?) position, Deleuze and Guattari promote an anti-humanistic line of thought that favors the processes of desubjectivation, depersonalization, and differentiation that have the capacity to find and express the forces of an inorganic life in </w:t>
      </w:r>
      <w:r>
        <w:rPr>
          <w:lang w:val="en-CA"/>
        </w:rPr>
        <w:t>an unfamiliar environment. Thus</w:t>
      </w:r>
      <w:r w:rsidRPr="0022319A">
        <w:rPr>
          <w:lang w:val="en-CA"/>
        </w:rPr>
        <w:t xml:space="preserve"> art does not mark </w:t>
      </w:r>
      <w:r>
        <w:rPr>
          <w:lang w:val="en-CA"/>
        </w:rPr>
        <w:t>the beginning of humanity: bird</w:t>
      </w:r>
      <w:r w:rsidRPr="0022319A">
        <w:rPr>
          <w:lang w:val="en-CA"/>
        </w:rPr>
        <w:t>-artists can create “ready-mades” by letting leaves drop and meticulously turning them to make a contrast between their interior face and the color of the earth. Their postures, colo</w:t>
      </w:r>
      <w:r>
        <w:rPr>
          <w:lang w:val="en-CA"/>
        </w:rPr>
        <w:t>u</w:t>
      </w:r>
      <w:r w:rsidRPr="0022319A">
        <w:rPr>
          <w:lang w:val="en-CA"/>
        </w:rPr>
        <w:t>rs, and refrains “sketch</w:t>
      </w:r>
      <w:r>
        <w:rPr>
          <w:lang w:val="en-CA"/>
        </w:rPr>
        <w:t xml:space="preserve"> out a total work of art” (1994:</w:t>
      </w:r>
      <w:r w:rsidRPr="0022319A">
        <w:rPr>
          <w:lang w:val="en-CA"/>
        </w:rPr>
        <w:t xml:space="preserve"> 184)</w:t>
      </w:r>
      <w:r>
        <w:rPr>
          <w:lang w:val="en-CA"/>
        </w:rPr>
        <w:t>.</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It is no surprise then if psychoanalysis and its familialo-humanistic approach become </w:t>
      </w:r>
      <w:r>
        <w:rPr>
          <w:lang w:val="en-CA"/>
        </w:rPr>
        <w:t>some</w:t>
      </w:r>
      <w:r w:rsidRPr="0022319A">
        <w:rPr>
          <w:lang w:val="en-CA"/>
        </w:rPr>
        <w:t xml:space="preserve"> of the main targets of Deleuze and Guattari’s conception of animality. Before going any further, let us first recall Freud’s analysis of the Wolf Man’s neurotic childhood dreams, the Rat Man’s obsessive thoughts, and Little Hans’ phobic relations to horses. For Freud, wolves, rats, and horses all have a familial and personal symbolic value as he identifies them with family members, the primal scene, and personal sexual drive. Furthermore, Freud is convinced that the recognition of these animal figures as familial characters is the first step </w:t>
      </w:r>
      <w:r>
        <w:rPr>
          <w:lang w:val="en-CA"/>
        </w:rPr>
        <w:t>towards</w:t>
      </w:r>
      <w:r w:rsidRPr="0022319A">
        <w:rPr>
          <w:lang w:val="en-CA"/>
        </w:rPr>
        <w:t xml:space="preserve"> accomplishing the goal of resolving </w:t>
      </w:r>
      <w:r w:rsidRPr="0022319A">
        <w:rPr>
          <w:rStyle w:val="Emphasis"/>
          <w:i w:val="0"/>
        </w:rPr>
        <w:t>Œ</w:t>
      </w:r>
      <w:r w:rsidRPr="0022319A">
        <w:rPr>
          <w:lang w:val="en-CA"/>
        </w:rPr>
        <w:t>dipal conflicts. A similar devaluation of the animal character can be found in the writings of Jacques Lacan, who, in a very classical and traditional way, defines the animal by its lack of language thus impeding its experience of the mirror stage, the subject of signifier, etc. (Lacan</w:t>
      </w:r>
      <w:r>
        <w:rPr>
          <w:lang w:val="en-CA"/>
        </w:rPr>
        <w:t>, 2007:</w:t>
      </w:r>
      <w:r w:rsidRPr="0022319A">
        <w:t xml:space="preserve"> 75-81 and 671-702)</w:t>
      </w:r>
      <w:r>
        <w:t>.</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In sum, for Freud and Lacan, the animal must sit on the floor, not lie on the psychoanalyst’s couch. The animal in psychoanalysis has an inferior status. Even for Jung, who partially de-oedipianized it, the animal remains an occurrence in the imagination (dream, fantasies, etc.) that does not reach concrete reality (Deleuze &amp; Guattari</w:t>
      </w:r>
      <w:r>
        <w:rPr>
          <w:lang w:val="en-CA"/>
        </w:rPr>
        <w:t>,</w:t>
      </w:r>
      <w:r w:rsidRPr="0022319A">
        <w:rPr>
          <w:lang w:val="en-CA"/>
        </w:rPr>
        <w:t xml:space="preserve"> </w:t>
      </w:r>
      <w:r>
        <w:t>2005:</w:t>
      </w:r>
      <w:r w:rsidRPr="0022319A">
        <w:t xml:space="preserve"> 235-238)</w:t>
      </w:r>
      <w:r>
        <w:t>.</w:t>
      </w:r>
      <w:r w:rsidRPr="0022319A">
        <w:rPr>
          <w:lang w:val="en-CA"/>
        </w:rPr>
        <w:t xml:space="preserve"> Thus, psychoanalysis fails in truly conceiving of animality or of maintaining an “</w:t>
      </w:r>
      <w:r w:rsidRPr="0022319A">
        <w:rPr>
          <w:color w:val="000000"/>
          <w:lang w:val="en-CA"/>
        </w:rPr>
        <w:t>animal relationship with animals</w:t>
      </w:r>
      <w:r w:rsidRPr="0022319A">
        <w:rPr>
          <w:lang w:val="en-CA"/>
        </w:rPr>
        <w:t xml:space="preserve">” that would allow the specificity of animality to be recognized. Instead, it favors a de-hierarchization of the connections between the realms of the living and sees this as a condition necessary </w:t>
      </w:r>
      <w:r>
        <w:rPr>
          <w:lang w:val="en-CA"/>
        </w:rPr>
        <w:t>for</w:t>
      </w:r>
      <w:r w:rsidRPr="0022319A">
        <w:rPr>
          <w:lang w:val="en-CA"/>
        </w:rPr>
        <w:t xml:space="preserve"> experiencing the becoming</w:t>
      </w:r>
      <w:r>
        <w:rPr>
          <w:lang w:val="en-CA"/>
        </w:rPr>
        <w:t>s-animal</w:t>
      </w:r>
      <w:r w:rsidRPr="0022319A">
        <w:rPr>
          <w:lang w:val="en-CA"/>
        </w:rPr>
        <w:t>.</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What is this “becoming” exactly and, more specifically, what is the becoming-animal? Some sections of Deleuze's solo work are devoted to the animal (Sauvagnargues</w:t>
      </w:r>
      <w:r>
        <w:rPr>
          <w:lang w:val="en-CA"/>
        </w:rPr>
        <w:t>,</w:t>
      </w:r>
      <w:r w:rsidRPr="0022319A">
        <w:rPr>
          <w:lang w:val="en-CA"/>
        </w:rPr>
        <w:t xml:space="preserve"> 2004), but the notion of becoming-animal was introduced in chapter 4 of Deleuze and Guattari’s book on Kafka. A more substantial development can be found in chapter 10 of </w:t>
      </w:r>
      <w:r w:rsidRPr="0022319A">
        <w:rPr>
          <w:i/>
          <w:lang w:val="en-CA"/>
        </w:rPr>
        <w:t>A Thousand Plateaus</w:t>
      </w:r>
      <w:r w:rsidRPr="0022319A">
        <w:rPr>
          <w:lang w:val="en-CA"/>
        </w:rPr>
        <w:t xml:space="preserve"> entitled “Becoming-intense, becoming-animal, becoming-imperceptible…”</w:t>
      </w:r>
    </w:p>
    <w:p w:rsidR="002D463E" w:rsidRPr="0022319A" w:rsidRDefault="002D463E" w:rsidP="002D463E">
      <w:pPr>
        <w:tabs>
          <w:tab w:val="left" w:pos="2268"/>
        </w:tabs>
        <w:rPr>
          <w:u w:val="single"/>
          <w:lang w:val="en-CA"/>
        </w:rPr>
      </w:pPr>
    </w:p>
    <w:p w:rsidR="002D463E" w:rsidRPr="0022319A" w:rsidRDefault="002D463E" w:rsidP="00E35253">
      <w:pPr>
        <w:pStyle w:val="Heading3"/>
        <w:rPr>
          <w:lang w:val="en-CA"/>
        </w:rPr>
      </w:pPr>
      <w:r w:rsidRPr="0022319A">
        <w:rPr>
          <w:lang w:val="en-CA"/>
        </w:rPr>
        <w:t>Becoming</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Despite Deleuze’s admiration for Spinoza’s anti-subjectivist ethics, there is no room in Deleuzian philosophy for the </w:t>
      </w:r>
      <w:r w:rsidRPr="0022319A">
        <w:rPr>
          <w:i/>
          <w:lang w:val="en-CA"/>
        </w:rPr>
        <w:t xml:space="preserve">conatus </w:t>
      </w:r>
      <w:r w:rsidRPr="0022319A">
        <w:rPr>
          <w:lang w:val="en-CA"/>
        </w:rPr>
        <w:t xml:space="preserve">or the “endeavour” for everything to reach what constitutes its own substance (Spinoza, </w:t>
      </w:r>
      <w:r w:rsidRPr="0022319A">
        <w:rPr>
          <w:i/>
          <w:lang w:val="en-CA"/>
        </w:rPr>
        <w:t>Ethics</w:t>
      </w:r>
      <w:r>
        <w:rPr>
          <w:lang w:val="en-CA"/>
        </w:rPr>
        <w:t>:</w:t>
      </w:r>
      <w:r w:rsidRPr="0022319A">
        <w:rPr>
          <w:lang w:val="en-CA"/>
        </w:rPr>
        <w:t xml:space="preserve"> Part 3, Prop. 6). This refusal that things endeavour to persist in their own being gives way to</w:t>
      </w:r>
      <w:r>
        <w:rPr>
          <w:lang w:val="en-CA"/>
        </w:rPr>
        <w:t xml:space="preserve"> a</w:t>
      </w:r>
      <w:r w:rsidRPr="0022319A">
        <w:rPr>
          <w:lang w:val="en-CA"/>
        </w:rPr>
        <w:t xml:space="preserve"> promotion of becomings. These </w:t>
      </w:r>
      <w:r>
        <w:rPr>
          <w:lang w:val="en-CA"/>
        </w:rPr>
        <w:t>becomings</w:t>
      </w:r>
      <w:r w:rsidRPr="0022319A">
        <w:rPr>
          <w:lang w:val="en-CA"/>
        </w:rPr>
        <w:t xml:space="preserve"> have the opposite effect when compared to the </w:t>
      </w:r>
      <w:r w:rsidRPr="0022319A">
        <w:rPr>
          <w:i/>
          <w:lang w:val="en-CA"/>
        </w:rPr>
        <w:t>conatus</w:t>
      </w:r>
      <w:r w:rsidRPr="0022319A">
        <w:rPr>
          <w:lang w:val="en-CA"/>
        </w:rPr>
        <w:t xml:space="preserve"> since they open up to the experimentation of common zones not only between various realms of the living (animal, mineral, human, vegetal, etc.), but also between living beings and haecceities or singularities (“five o’clock in the evening,” a wound, a sunset, etc.). The Spinozist Nature where the mission of each living being and each entity is to find its substantial identity is radically different </w:t>
      </w:r>
      <w:r>
        <w:rPr>
          <w:lang w:val="en-CA"/>
        </w:rPr>
        <w:t>from</w:t>
      </w:r>
      <w:r w:rsidRPr="0022319A">
        <w:rPr>
          <w:lang w:val="en-CA"/>
        </w:rPr>
        <w:t xml:space="preserve"> Deleuze and Guattari’s Nature</w:t>
      </w:r>
      <w:r>
        <w:rPr>
          <w:lang w:val="en-CA"/>
        </w:rPr>
        <w:t>,</w:t>
      </w:r>
      <w:r w:rsidRPr="0022319A">
        <w:rPr>
          <w:lang w:val="en-CA"/>
        </w:rPr>
        <w:t xml:space="preserve"> where fixed identities give way to assemblages, alliances, passages and becomings between</w:t>
      </w:r>
      <w:r>
        <w:rPr>
          <w:lang w:val="en-CA"/>
        </w:rPr>
        <w:t xml:space="preserve"> both beings and things</w:t>
      </w:r>
      <w:r w:rsidRPr="0022319A">
        <w:rPr>
          <w:lang w:val="en-CA"/>
        </w:rPr>
        <w:t>.</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Deleuze and Guattari often insist that becomings have nothing to do with imitation, history, and imagination. Negatively, becomings have nothing to imitate since </w:t>
      </w:r>
      <w:r w:rsidRPr="0022319A">
        <w:rPr>
          <w:i/>
          <w:lang w:val="en-CA"/>
        </w:rPr>
        <w:t>mimesis</w:t>
      </w:r>
      <w:r w:rsidRPr="0022319A">
        <w:rPr>
          <w:lang w:val="en-CA"/>
        </w:rPr>
        <w:t xml:space="preserve"> implies some kind of positivism that would shift identity “A” to identity “B.” This</w:t>
      </w:r>
      <w:r>
        <w:rPr>
          <w:lang w:val="en-CA"/>
        </w:rPr>
        <w:t xml:space="preserve"> Mimesis</w:t>
      </w:r>
      <w:r w:rsidRPr="0022319A">
        <w:rPr>
          <w:lang w:val="en-CA"/>
        </w:rPr>
        <w:t xml:space="preserve"> does not take into consideration what happens “in between” or in the “midst” (</w:t>
      </w:r>
      <w:r w:rsidRPr="0022319A">
        <w:rPr>
          <w:i/>
          <w:lang w:val="en-CA"/>
        </w:rPr>
        <w:t>au milieu</w:t>
      </w:r>
      <w:r w:rsidRPr="0022319A">
        <w:rPr>
          <w:lang w:val="en-CA"/>
        </w:rPr>
        <w:t>) of things, which is precisely what Deleuze and Guattari are interested in. Moreover, to say “I was a man and I’m becoming a bird by imitating a bird song, the beating of its wings, etc.” implies a type of becoming that can only be metaphorical. In this case, a distinct state pretends to be able to replace another without considering the “fold” between things and without experiencing disjunctive synthesis, a machinic assemblage or a process of differentiation.</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Becomings do not deal with history either, since Deleuze (and Deleuze with Guattari) always associates history </w:t>
      </w:r>
      <w:r>
        <w:rPr>
          <w:lang w:val="en-CA"/>
        </w:rPr>
        <w:t>with</w:t>
      </w:r>
      <w:r w:rsidRPr="0022319A">
        <w:rPr>
          <w:lang w:val="en-CA"/>
        </w:rPr>
        <w:t xml:space="preserve"> dialectics and meaning. No historical law could explain becomings or reveal their complete meaning (“I become a bird first by learning bird songs, then by makings wings, etc.”). Thus, history does not become. Instead, what becomes is timeless, escaping recognition, historical legislation, identification, the familiar, etc.</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And, lastly, becomings are not associated with imagination. For Deleuze and Guattari, becomings are real in a very specific sense, according to which the traditional opposition between the actual and the virtual no longer stands. Becomings do not take place in an oniric, fantasmagoric world (“I dream that I am a bird”). Rather, they occur in concrete and material states-of-affairs that express impersonal forces in order to transform sensible forces that would otherwise remain insensible.</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Thus, becomings are not related to resemblance, metaphor, analogy, personification, production of a new identity, historicism, evolutionism, etc. Rather, becomings aim at finding a “zone of proximity” between things. “To become,” writes Deleuze, “is not to attain a form (identification, imitation, Mimesis) but to find the zone of proximity, indiscernibility, or indifferentiation where one can no longer be distinguished from </w:t>
      </w:r>
      <w:r w:rsidRPr="0022319A">
        <w:rPr>
          <w:i/>
          <w:lang w:val="en-CA"/>
        </w:rPr>
        <w:t>a</w:t>
      </w:r>
      <w:r w:rsidRPr="0022319A">
        <w:rPr>
          <w:lang w:val="en-CA"/>
        </w:rPr>
        <w:t xml:space="preserve"> woman, </w:t>
      </w:r>
      <w:r w:rsidRPr="0022319A">
        <w:rPr>
          <w:i/>
          <w:lang w:val="en-CA"/>
        </w:rPr>
        <w:t>an</w:t>
      </w:r>
      <w:r w:rsidRPr="0022319A">
        <w:rPr>
          <w:lang w:val="en-CA"/>
        </w:rPr>
        <w:t xml:space="preserve"> animal, or </w:t>
      </w:r>
      <w:r w:rsidRPr="0022319A">
        <w:rPr>
          <w:i/>
          <w:lang w:val="en-CA"/>
        </w:rPr>
        <w:t>a</w:t>
      </w:r>
      <w:r w:rsidRPr="0022319A">
        <w:rPr>
          <w:lang w:val="en-CA"/>
        </w:rPr>
        <w:t xml:space="preserve"> molecule—neither imprecise nor general, but unforeseen and non-preexistent, singularized out of a population rather than determined in a form” (Deleuze</w:t>
      </w:r>
      <w:r>
        <w:rPr>
          <w:lang w:val="en-CA"/>
        </w:rPr>
        <w:t>,</w:t>
      </w:r>
      <w:r w:rsidRPr="0022319A">
        <w:rPr>
          <w:lang w:val="en-CA"/>
        </w:rPr>
        <w:t xml:space="preserve"> 1997</w:t>
      </w:r>
      <w:r>
        <w:rPr>
          <w:lang w:val="en-CA"/>
        </w:rPr>
        <w:t>:</w:t>
      </w:r>
      <w:r w:rsidRPr="0022319A">
        <w:rPr>
          <w:lang w:val="en-CA"/>
        </w:rPr>
        <w:t xml:space="preserve"> 1)</w:t>
      </w:r>
      <w:r>
        <w:rPr>
          <w:lang w:val="en-CA"/>
        </w:rPr>
        <w:t>. Further, Deleuze</w:t>
      </w:r>
      <w:r w:rsidRPr="0022319A">
        <w:rPr>
          <w:lang w:val="en-CA"/>
        </w:rPr>
        <w:t xml:space="preserve"> illustrates this with Captain Ahab who becomes-whale by creating a machinic assemblage with Moby Dick: “It is no longer a question of Mimesis, but of becoming. Ahab does not imitate the whale, he becomes Moby Dick, he enters into a zone of proximity [</w:t>
      </w:r>
      <w:r w:rsidRPr="0022319A">
        <w:rPr>
          <w:i/>
          <w:lang w:val="en-CA"/>
        </w:rPr>
        <w:t>zone de voisinage</w:t>
      </w:r>
      <w:r w:rsidRPr="0022319A">
        <w:rPr>
          <w:lang w:val="en-CA"/>
        </w:rPr>
        <w:t>] where he can no longer be distinguished from Moby Dick, and strikes himself in striking the whale” (Deleuze</w:t>
      </w:r>
      <w:r>
        <w:rPr>
          <w:lang w:val="en-CA"/>
        </w:rPr>
        <w:t>,</w:t>
      </w:r>
      <w:r w:rsidRPr="0022319A">
        <w:rPr>
          <w:lang w:val="en-CA"/>
        </w:rPr>
        <w:t xml:space="preserve"> 1997</w:t>
      </w:r>
      <w:r>
        <w:rPr>
          <w:lang w:val="en-CA"/>
        </w:rPr>
        <w:t>:</w:t>
      </w:r>
      <w:r w:rsidRPr="0022319A">
        <w:rPr>
          <w:lang w:val="en-CA"/>
        </w:rPr>
        <w:t xml:space="preserve"> 78; see also Deleuze &amp; Guattari</w:t>
      </w:r>
      <w:r>
        <w:rPr>
          <w:lang w:val="en-CA"/>
        </w:rPr>
        <w:t>,</w:t>
      </w:r>
      <w:r w:rsidRPr="0022319A">
        <w:rPr>
          <w:lang w:val="en-CA"/>
        </w:rPr>
        <w:t xml:space="preserve"> 2005</w:t>
      </w:r>
      <w:r>
        <w:rPr>
          <w:lang w:val="en-CA"/>
        </w:rPr>
        <w:t>:</w:t>
      </w:r>
      <w:r w:rsidRPr="0022319A">
        <w:rPr>
          <w:lang w:val="en-CA"/>
        </w:rPr>
        <w:t xml:space="preserve"> 304-305)</w:t>
      </w:r>
      <w:r>
        <w:rPr>
          <w:lang w:val="en-CA"/>
        </w:rPr>
        <w:t>.</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To become is the metaphysical experience of a process through which a zone of proximity made up of affects between entities is found. Throughout this process, impersonal forces are grasped and expressed through speaking, acting or writing “in the place of” whichever body (idiot, illiterate, animals, plants, haecceities, etc.). This metamorphosis implies no integral change of identity that would make it impossible to recognize the one experiencing the metamorphosis. Indeed, all becomings are molecular—that is to say, imperceptible—though they escape molecular perception.</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Thus, if I were to say “I have decided to become a bird by putting on a costume, imitating a bird song, simulating the move of the wings, etc.,” then I am two degrees further away from becoming as Deleuze and Guattari understand it because, on the one hand, the becoming is not the effect of an intentional choice, of free will or of a voluntary act since it happens like an event and, on the other hand, its molecular character is such that the subtle picking up (</w:t>
      </w:r>
      <w:r w:rsidRPr="0022319A">
        <w:rPr>
          <w:i/>
          <w:lang w:val="en-CA"/>
        </w:rPr>
        <w:t>captation</w:t>
      </w:r>
      <w:r w:rsidRPr="0022319A">
        <w:rPr>
          <w:lang w:val="en-CA"/>
        </w:rPr>
        <w:t>) of affects passes under the radar of common perception.</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We are now in a better position to understand the quasi-generic, but also circular, definition of the becoming: “Starting from the forms one has, the subject one is, the organs one has, or the functions one fulfills, becoming is to extract particles between which one establishes the relations of movement and rest, speed and slowness that are </w:t>
      </w:r>
      <w:r w:rsidRPr="0022319A">
        <w:rPr>
          <w:i/>
          <w:lang w:val="en-CA"/>
        </w:rPr>
        <w:t>closest</w:t>
      </w:r>
      <w:r w:rsidRPr="0022319A">
        <w:rPr>
          <w:lang w:val="en-CA"/>
        </w:rPr>
        <w:t xml:space="preserve"> to what one is becoming, and through which one becomes” (Deleuze &amp; Guattari</w:t>
      </w:r>
      <w:r>
        <w:rPr>
          <w:lang w:val="en-CA"/>
        </w:rPr>
        <w:t>,</w:t>
      </w:r>
      <w:r w:rsidRPr="0022319A">
        <w:rPr>
          <w:lang w:val="en-CA"/>
        </w:rPr>
        <w:t xml:space="preserve"> 2005</w:t>
      </w:r>
      <w:r>
        <w:rPr>
          <w:lang w:val="en-CA"/>
        </w:rPr>
        <w:t>:</w:t>
      </w:r>
      <w:r w:rsidRPr="0022319A">
        <w:rPr>
          <w:lang w:val="en-CA"/>
        </w:rPr>
        <w:t xml:space="preserve"> 272)</w:t>
      </w:r>
      <w:r>
        <w:rPr>
          <w:lang w:val="en-CA"/>
        </w:rPr>
        <w:t>.</w:t>
      </w:r>
      <w:r w:rsidRPr="0022319A">
        <w:rPr>
          <w:lang w:val="en-CA"/>
        </w:rPr>
        <w:t xml:space="preserve"> So, becoming implies a series of assemblages (</w:t>
      </w:r>
      <w:r w:rsidRPr="0022319A">
        <w:rPr>
          <w:i/>
          <w:lang w:val="en-CA"/>
        </w:rPr>
        <w:t>agencements</w:t>
      </w:r>
      <w:r w:rsidRPr="0022319A">
        <w:rPr>
          <w:lang w:val="en-CA"/>
        </w:rPr>
        <w:t>) between deterritorializing forces that are circulating on the edge, for instance, of the human and the non-human</w:t>
      </w:r>
      <w:r>
        <w:rPr>
          <w:lang w:val="en-CA"/>
        </w:rPr>
        <w:t>,</w:t>
      </w:r>
      <w:r w:rsidRPr="0022319A">
        <w:rPr>
          <w:lang w:val="en-CA"/>
        </w:rPr>
        <w:t xml:space="preserve"> in order to make them indiscernible. It is in such a zone of proximity, of uncertainty</w:t>
      </w:r>
      <w:r>
        <w:rPr>
          <w:lang w:val="en-CA"/>
        </w:rPr>
        <w:t>,</w:t>
      </w:r>
      <w:r w:rsidRPr="0022319A">
        <w:rPr>
          <w:lang w:val="en-CA"/>
        </w:rPr>
        <w:t xml:space="preserve"> or of indetermination that becomings occur.</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Children seem to be particularly sensitive to becomings (Deleuze &amp; Guattari</w:t>
      </w:r>
      <w:r>
        <w:rPr>
          <w:lang w:val="en-CA"/>
        </w:rPr>
        <w:t>,</w:t>
      </w:r>
      <w:r w:rsidRPr="0022319A">
        <w:rPr>
          <w:lang w:val="en-CA"/>
        </w:rPr>
        <w:t xml:space="preserve"> 2005</w:t>
      </w:r>
      <w:r>
        <w:rPr>
          <w:lang w:val="en-CA"/>
        </w:rPr>
        <w:t>:</w:t>
      </w:r>
      <w:r w:rsidRPr="0022319A">
        <w:rPr>
          <w:lang w:val="en-CA"/>
        </w:rPr>
        <w:t xml:space="preserve"> 273-274)</w:t>
      </w:r>
      <w:r>
        <w:rPr>
          <w:lang w:val="en-CA"/>
        </w:rPr>
        <w:t>.</w:t>
      </w:r>
      <w:r w:rsidRPr="0022319A">
        <w:rPr>
          <w:lang w:val="en-CA"/>
        </w:rPr>
        <w:t xml:space="preserve"> Children who approach animals without fear or eat substances their organism was not made to digest are two examples that come to mind. Is it a mere question of unconsciousness when a child swallows a screw or bites into a clump of soil while plenty of food is available in the family kitchen? Probably in part</w:t>
      </w:r>
      <w:r>
        <w:rPr>
          <w:lang w:val="en-CA"/>
        </w:rPr>
        <w:t>,</w:t>
      </w:r>
      <w:r w:rsidRPr="0022319A">
        <w:rPr>
          <w:lang w:val="en-CA"/>
        </w:rPr>
        <w:t xml:space="preserve"> but there might also be some kind of Deleuzo-Guattarian becoming at play here, an attempt to create an assemblage and to find a zone of indiscernibility between the human and the non-human. Because becomings obey no predefinite rule, they happen like an event: “We can be thrown into a becoming by anything at all, by the most unexpected, most insignificant of things” (2005</w:t>
      </w:r>
      <w:r>
        <w:rPr>
          <w:lang w:val="en-CA"/>
        </w:rPr>
        <w:t>:</w:t>
      </w:r>
      <w:r w:rsidRPr="0022319A">
        <w:rPr>
          <w:lang w:val="en-CA"/>
        </w:rPr>
        <w:t xml:space="preserve"> 292)</w:t>
      </w:r>
      <w:r>
        <w:rPr>
          <w:lang w:val="en-CA"/>
        </w:rPr>
        <w:t>.</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Deleuze and Guattari’s idea about the relationship between various types of becomings is indeed very precise ( 2005</w:t>
      </w:r>
      <w:r>
        <w:rPr>
          <w:lang w:val="en-CA"/>
        </w:rPr>
        <w:t>:</w:t>
      </w:r>
      <w:r w:rsidRPr="0022319A">
        <w:rPr>
          <w:lang w:val="en-CA"/>
        </w:rPr>
        <w:t xml:space="preserve"> 291-292)</w:t>
      </w:r>
      <w:r>
        <w:rPr>
          <w:lang w:val="en-CA"/>
        </w:rPr>
        <w:t>.</w:t>
      </w:r>
      <w:r w:rsidRPr="0022319A">
        <w:rPr>
          <w:lang w:val="en-CA"/>
        </w:rPr>
        <w:t xml:space="preserve"> First, there is no becoming-man as the male is the majoritarian standard and becomings can only be minoritarian. They add in a relatively enigmatic way that all becomings have to pass through a becoming-woman associated with the secret. The woman sometimes seems to tell everything, but she has this peculiar way of hiding what can be considered the most important aspect. Here, Deleuze and Guattari do not take into consideration the specific problem of the becomings between entities of non-human or non-gendered forms of life. However, we can say that they are referring to a “female energy” present in the whole universe. This privilege of woman in the world of becomings also means that she forms the most obvious minority (let us recall here that the minor has a positive and creative meaning for Deleuze and Guattari</w:t>
      </w:r>
      <w:r w:rsidRPr="00704EE7">
        <w:rPr>
          <w:lang w:val="en-CA"/>
        </w:rPr>
        <w:t>,</w:t>
      </w:r>
      <w:r w:rsidRPr="00704EE7">
        <w:rPr>
          <w:color w:val="FF0000"/>
          <w:lang w:val="en-CA"/>
        </w:rPr>
        <w:t xml:space="preserve"> </w:t>
      </w:r>
      <w:r w:rsidRPr="00704EE7">
        <w:rPr>
          <w:lang w:val="en-CA"/>
        </w:rPr>
        <w:t>and also that majority and minority are not understood in the numerical sense, but rather through their positions in power relations: minor works or discourses are the ones that seek not to perpetuate binary power relations by deterritorialising the codes that determine their position as minorities),</w:t>
      </w:r>
      <w:r w:rsidRPr="0022319A">
        <w:rPr>
          <w:lang w:val="en-CA"/>
        </w:rPr>
        <w:t xml:space="preserve"> and consequently the becoming-woman is potentially the most frequent or most easily accessible. Then comes the series of non-human becomings: becoming-animal, -plant, -child, -mineral, etc., which are themselves made of a becoming-imperceptible. The imperceptible is considered “the immanent end of </w:t>
      </w:r>
      <w:r>
        <w:rPr>
          <w:lang w:val="en-CA"/>
        </w:rPr>
        <w:t>becoming, its cosmic formula” (</w:t>
      </w:r>
      <w:r w:rsidRPr="0022319A">
        <w:rPr>
          <w:lang w:val="en-CA"/>
        </w:rPr>
        <w:t>2005</w:t>
      </w:r>
      <w:r>
        <w:rPr>
          <w:lang w:val="en-CA"/>
        </w:rPr>
        <w:t>:</w:t>
      </w:r>
      <w:r w:rsidRPr="0022319A">
        <w:rPr>
          <w:lang w:val="en-CA"/>
        </w:rPr>
        <w:t xml:space="preserve"> 279)</w:t>
      </w:r>
      <w:r>
        <w:rPr>
          <w:lang w:val="en-CA"/>
        </w:rPr>
        <w:t>.</w:t>
      </w:r>
      <w:r w:rsidRPr="0022319A">
        <w:rPr>
          <w:lang w:val="en-CA"/>
        </w:rPr>
        <w:t xml:space="preserve"> Thus, every becoming is mixed, while being assembled with the secret (woman) and metaphysical molecules (imperceptible). There is no recipe or guarantee of success attached to the experimentation of becomings. They can be “botched” (</w:t>
      </w:r>
      <w:r w:rsidRPr="0022319A">
        <w:rPr>
          <w:i/>
          <w:lang w:val="en-CA"/>
        </w:rPr>
        <w:t>ratés</w:t>
      </w:r>
      <w:r w:rsidRPr="0022319A">
        <w:rPr>
          <w:lang w:val="en-CA"/>
        </w:rPr>
        <w:t>) even if becomings seem to gravitate toward a common immanent goal of imperceptibility, conceived as a sort of perfect fusion of inorganic life—or a con-fusion with this inorganic life</w:t>
      </w:r>
      <w:r>
        <w:rPr>
          <w:lang w:val="en-CA"/>
        </w:rPr>
        <w:t>,</w:t>
      </w:r>
      <w:r w:rsidRPr="0022319A">
        <w:rPr>
          <w:lang w:val="en-CA"/>
        </w:rPr>
        <w:t xml:space="preserve"> since the endpoint of becomings is combined with a loss of identity.</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Deleuze and Guattari </w:t>
      </w:r>
      <w:r>
        <w:rPr>
          <w:lang w:val="en-CA"/>
        </w:rPr>
        <w:t>ascribe</w:t>
      </w:r>
      <w:r w:rsidRPr="0022319A">
        <w:rPr>
          <w:lang w:val="en-CA"/>
        </w:rPr>
        <w:t xml:space="preserve"> a political value to the experimentation of becomings. </w:t>
      </w:r>
      <w:r>
        <w:rPr>
          <w:lang w:val="en-CA"/>
        </w:rPr>
        <w:t>The</w:t>
      </w:r>
      <w:r w:rsidRPr="0022319A">
        <w:rPr>
          <w:lang w:val="en-CA"/>
        </w:rPr>
        <w:t xml:space="preserve"> latter always constitutes a deviation from the majoritarian power. Becomings always imply a deterritorialization out of the molar regime (Subject or State) that block the molar capacities to generate affect and to be affected in a great number of ways: “Becoming-minoritarian is a political affair” (2005</w:t>
      </w:r>
      <w:r>
        <w:rPr>
          <w:lang w:val="en-CA"/>
        </w:rPr>
        <w:t>:</w:t>
      </w:r>
      <w:r w:rsidRPr="0022319A">
        <w:rPr>
          <w:lang w:val="en-CA"/>
        </w:rPr>
        <w:t xml:space="preserve"> 292)</w:t>
      </w:r>
      <w:r>
        <w:rPr>
          <w:lang w:val="en-CA"/>
        </w:rPr>
        <w:t>.</w:t>
      </w:r>
      <w:r w:rsidRPr="0022319A">
        <w:rPr>
          <w:lang w:val="en-CA"/>
        </w:rPr>
        <w:t xml:space="preserve"> Thus, minor artists, writers, and philosophers—the ones who find and express minoritarian-becomings—play a political role when, following a certain order of necessity according to Deleuze and Guattari, they announce a “people to come” and a “new earth” (1994</w:t>
      </w:r>
      <w:r>
        <w:rPr>
          <w:lang w:val="en-CA"/>
        </w:rPr>
        <w:t>:</w:t>
      </w:r>
      <w:r w:rsidRPr="0022319A">
        <w:rPr>
          <w:lang w:val="en-CA"/>
        </w:rPr>
        <w:t xml:space="preserve"> 109)</w:t>
      </w:r>
      <w:r>
        <w:rPr>
          <w:lang w:val="en-CA"/>
        </w:rPr>
        <w:t>.</w:t>
      </w:r>
      <w:r w:rsidRPr="0022319A">
        <w:rPr>
          <w:lang w:val="en-CA"/>
        </w:rPr>
        <w:t xml:space="preserve"> However, our prime interest here will not be these political and esthetical values attached to becoming, but rather the question of</w:t>
      </w:r>
      <w:r>
        <w:rPr>
          <w:lang w:val="en-CA"/>
        </w:rPr>
        <w:t xml:space="preserve"> the</w:t>
      </w:r>
      <w:r w:rsidRPr="0022319A">
        <w:rPr>
          <w:lang w:val="en-CA"/>
        </w:rPr>
        <w:t xml:space="preserve"> animal and becoming</w:t>
      </w:r>
      <w:r>
        <w:rPr>
          <w:lang w:val="en-CA"/>
        </w:rPr>
        <w:t>s-animal</w:t>
      </w:r>
      <w:r w:rsidRPr="0022319A">
        <w:rPr>
          <w:lang w:val="en-CA"/>
        </w:rPr>
        <w:t>.</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E35253">
      <w:pPr>
        <w:pStyle w:val="Heading3"/>
        <w:rPr>
          <w:lang w:val="en-CA"/>
        </w:rPr>
      </w:pPr>
      <w:r w:rsidRPr="0022319A">
        <w:rPr>
          <w:lang w:val="en-CA"/>
        </w:rPr>
        <w:t>Becoming-animal</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Deleuze and Guattari insist that “becoming-animal is only one becoming among others” (2005</w:t>
      </w:r>
      <w:r>
        <w:rPr>
          <w:lang w:val="en-CA"/>
        </w:rPr>
        <w:t>:</w:t>
      </w:r>
      <w:r w:rsidRPr="0022319A">
        <w:rPr>
          <w:lang w:val="en-CA"/>
        </w:rPr>
        <w:t xml:space="preserve"> 272)</w:t>
      </w:r>
      <w:r>
        <w:rPr>
          <w:lang w:val="en-CA"/>
        </w:rPr>
        <w:t>.</w:t>
      </w:r>
      <w:r w:rsidRPr="0022319A">
        <w:rPr>
          <w:lang w:val="en-CA"/>
        </w:rPr>
        <w:t xml:space="preserve"> However, </w:t>
      </w:r>
      <w:r>
        <w:rPr>
          <w:lang w:val="en-CA"/>
        </w:rPr>
        <w:t>becoming-animal</w:t>
      </w:r>
      <w:r w:rsidRPr="0022319A">
        <w:rPr>
          <w:lang w:val="en-CA"/>
        </w:rPr>
        <w:t xml:space="preserve"> is the type of becoming they</w:t>
      </w:r>
      <w:r>
        <w:rPr>
          <w:lang w:val="en-CA"/>
        </w:rPr>
        <w:t xml:space="preserve"> wrote</w:t>
      </w:r>
      <w:r w:rsidRPr="0022319A">
        <w:rPr>
          <w:lang w:val="en-CA"/>
        </w:rPr>
        <w:t xml:space="preserve"> </w:t>
      </w:r>
      <w:r>
        <w:rPr>
          <w:lang w:val="en-CA"/>
        </w:rPr>
        <w:t xml:space="preserve">by far </w:t>
      </w:r>
      <w:r w:rsidRPr="0022319A">
        <w:rPr>
          <w:lang w:val="en-CA"/>
        </w:rPr>
        <w:t>the most about. In order to grasp the specificity of the becoming</w:t>
      </w:r>
      <w:r>
        <w:rPr>
          <w:lang w:val="en-CA"/>
        </w:rPr>
        <w:t>s-animal</w:t>
      </w:r>
      <w:r w:rsidRPr="0022319A">
        <w:rPr>
          <w:lang w:val="en-CA"/>
        </w:rPr>
        <w:t>, let us first present the distinction Deleuze and Guattari established between three types of animals (240-241)</w:t>
      </w:r>
      <w:r>
        <w:rPr>
          <w:lang w:val="en-CA"/>
        </w:rPr>
        <w:t>.</w:t>
      </w:r>
      <w:r w:rsidRPr="0022319A">
        <w:rPr>
          <w:lang w:val="en-CA"/>
        </w:rPr>
        <w:t xml:space="preserve"> First, there are the “</w:t>
      </w:r>
      <w:r w:rsidRPr="0022319A">
        <w:rPr>
          <w:rStyle w:val="Emphasis"/>
          <w:i w:val="0"/>
        </w:rPr>
        <w:t>Œ</w:t>
      </w:r>
      <w:r w:rsidRPr="0022319A">
        <w:rPr>
          <w:lang w:val="en-CA"/>
        </w:rPr>
        <w:t xml:space="preserve">dipal” animals with whom some individuals maintain a sentimental relationship by considering them members of the family. Second, there are the “State” animals that correspond to sacred or archetypal symbols stemming from mythology and spiritual or religious beliefs and fulfilling the role of authoritarian figures. Third, there are the “demonic” animals. Here, “demon” should not be understood as “mischievous spirit,” but rather in the Greek sense of </w:t>
      </w:r>
      <w:r w:rsidRPr="0022319A">
        <w:rPr>
          <w:i/>
          <w:lang w:val="en-CA"/>
        </w:rPr>
        <w:t>daïmon</w:t>
      </w:r>
      <w:r w:rsidRPr="0022319A">
        <w:rPr>
          <w:lang w:val="en-CA"/>
        </w:rPr>
        <w:t xml:space="preserve">: situated in between the world of the living (states-of-beings) and some kind of suprasensible world (immanent to the first world) that, according to Deleuze and Guattari, is made up of inorganic life, affects, and impersonal forces. </w:t>
      </w:r>
      <w:r w:rsidRPr="0022319A">
        <w:rPr>
          <w:rStyle w:val="Emphasis"/>
          <w:i w:val="0"/>
        </w:rPr>
        <w:t>Œ</w:t>
      </w:r>
      <w:r w:rsidRPr="0022319A">
        <w:rPr>
          <w:lang w:val="en-CA"/>
        </w:rPr>
        <w:t>dipal and State animals have a molar value (“my dog,” “the God Ganesh,” etc.), but demonic animals have a molecular charac</w:t>
      </w:r>
      <w:r>
        <w:rPr>
          <w:lang w:val="en-CA"/>
        </w:rPr>
        <w:t>ter. It is thus in relation to</w:t>
      </w:r>
      <w:r w:rsidRPr="0022319A">
        <w:rPr>
          <w:lang w:val="en-CA"/>
        </w:rPr>
        <w:t xml:space="preserve"> demon animals that becoming</w:t>
      </w:r>
      <w:r>
        <w:rPr>
          <w:lang w:val="en-CA"/>
        </w:rPr>
        <w:t>s-animal</w:t>
      </w:r>
      <w:r w:rsidRPr="0022319A">
        <w:rPr>
          <w:lang w:val="en-CA"/>
        </w:rPr>
        <w:t xml:space="preserve"> take place. To experience a becoming-animal means finding an assemblage with animal molarity: “That is the essential point for us: you become-animal only if, by whatever means or elements, you emit corpuscules that enter the relation of movement and rest of the animal particles, or what amounts to the same thing, that enter the zone of proximity of the animal molecule” (274-275)</w:t>
      </w:r>
      <w:r>
        <w:rPr>
          <w:lang w:val="en-CA"/>
        </w:rPr>
        <w:t>.</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A solitary demonic animal can make up a pack while being filled with a multiplicity of affects. This is a source of real fascination for Deleuze and Guattari. The environment of the animal—like all non-human environments—is impersonal. The animal evolves in this setting without attempting its </w:t>
      </w:r>
      <w:r w:rsidRPr="0022319A">
        <w:rPr>
          <w:rStyle w:val="Emphasis"/>
          <w:i w:val="0"/>
          <w:lang w:val="en-CA"/>
        </w:rPr>
        <w:t>mastery or possession</w:t>
      </w:r>
      <w:r w:rsidRPr="0022319A">
        <w:rPr>
          <w:lang w:val="en-CA"/>
        </w:rPr>
        <w:t xml:space="preserve">. </w:t>
      </w:r>
      <w:r>
        <w:rPr>
          <w:lang w:val="en-CA"/>
        </w:rPr>
        <w:t>Almost i</w:t>
      </w:r>
      <w:r w:rsidRPr="0022319A">
        <w:rPr>
          <w:lang w:val="en-CA"/>
        </w:rPr>
        <w:t>ts entire life is dedicated to expressing affects and to being affected in various ways, to going in and out of its territory, to satisfying basic needs, etc. Moreover, each movement or behavior can potentially affect all other individuals of its species. Far from being a kingdom within a kingdom, the animal is a pack within a pack.</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In Francis Bacon’s painting</w:t>
      </w:r>
      <w:r>
        <w:rPr>
          <w:lang w:val="en-CA"/>
        </w:rPr>
        <w:t>s</w:t>
      </w:r>
      <w:r w:rsidRPr="0022319A">
        <w:rPr>
          <w:lang w:val="en-CA"/>
        </w:rPr>
        <w:t xml:space="preserve">, Deleuze saw the expression of </w:t>
      </w:r>
      <w:r>
        <w:rPr>
          <w:lang w:val="en-CA"/>
        </w:rPr>
        <w:t xml:space="preserve">the human being’s </w:t>
      </w:r>
      <w:r w:rsidRPr="0022319A">
        <w:rPr>
          <w:lang w:val="en-CA"/>
        </w:rPr>
        <w:t>becoming</w:t>
      </w:r>
      <w:r>
        <w:rPr>
          <w:lang w:val="en-CA"/>
        </w:rPr>
        <w:t>s-animal</w:t>
      </w:r>
      <w:r w:rsidRPr="0022319A">
        <w:rPr>
          <w:lang w:val="en-CA"/>
        </w:rPr>
        <w:t xml:space="preserve"> at play. It is well known that Bacon visited slaughterhouses and found inspiration in flesh by undoing faces to better express human shouts, postures, and actions at the edge of his own humanity. Deleuze says that in doing so “Bacon does not say, ‘Pity the beasts,’ but rather that every man who suffers is a piece of meat. Meat is the common zone of man and the beast, their zone of indiscernibility” (Deleuze</w:t>
      </w:r>
      <w:r>
        <w:rPr>
          <w:lang w:val="en-CA"/>
        </w:rPr>
        <w:t>,</w:t>
      </w:r>
      <w:r w:rsidRPr="0022319A">
        <w:rPr>
          <w:lang w:val="en-CA"/>
        </w:rPr>
        <w:t xml:space="preserve"> 2002</w:t>
      </w:r>
      <w:r>
        <w:rPr>
          <w:lang w:val="en-CA"/>
        </w:rPr>
        <w:t>:</w:t>
      </w:r>
      <w:r w:rsidRPr="0022319A">
        <w:rPr>
          <w:lang w:val="en-CA"/>
        </w:rPr>
        <w:t xml:space="preserve"> 21; see also chap. 4)</w:t>
      </w:r>
      <w:r>
        <w:rPr>
          <w:lang w:val="en-CA"/>
        </w:rPr>
        <w:t>.</w:t>
      </w:r>
      <w:r w:rsidRPr="0022319A">
        <w:rPr>
          <w:lang w:val="en-CA"/>
        </w:rPr>
        <w:t xml:space="preserve"> Therefore, here it is not a question of sentimental identification, but rather one of becoming that expresses the affects </w:t>
      </w:r>
      <w:r>
        <w:rPr>
          <w:lang w:val="en-CA"/>
        </w:rPr>
        <w:t xml:space="preserve">the human </w:t>
      </w:r>
      <w:r w:rsidRPr="0022319A">
        <w:rPr>
          <w:lang w:val="en-CA"/>
        </w:rPr>
        <w:t>and animal have in common.</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Pr>
          <w:lang w:val="en-CA"/>
        </w:rPr>
        <w:t xml:space="preserve">The human </w:t>
      </w:r>
      <w:r w:rsidRPr="0022319A">
        <w:rPr>
          <w:lang w:val="en-CA"/>
        </w:rPr>
        <w:t>has no privilege over becoming</w:t>
      </w:r>
      <w:r>
        <w:rPr>
          <w:lang w:val="en-CA"/>
        </w:rPr>
        <w:t>s-animal</w:t>
      </w:r>
      <w:r w:rsidRPr="0022319A">
        <w:rPr>
          <w:lang w:val="en-CA"/>
        </w:rPr>
        <w:t>, which find another illustration in the wasp and the orchid (</w:t>
      </w:r>
      <w:r>
        <w:rPr>
          <w:lang w:val="en-CA"/>
        </w:rPr>
        <w:t xml:space="preserve">e.g., </w:t>
      </w:r>
      <w:r w:rsidRPr="0022319A">
        <w:rPr>
          <w:lang w:val="en-CA"/>
        </w:rPr>
        <w:t>Del</w:t>
      </w:r>
      <w:r>
        <w:rPr>
          <w:lang w:val="en-CA"/>
        </w:rPr>
        <w:t>euze &amp; Guattari,</w:t>
      </w:r>
      <w:r w:rsidRPr="0022319A">
        <w:rPr>
          <w:lang w:val="en-CA"/>
        </w:rPr>
        <w:t xml:space="preserve"> 2005</w:t>
      </w:r>
      <w:r>
        <w:rPr>
          <w:lang w:val="en-CA"/>
        </w:rPr>
        <w:t>:</w:t>
      </w:r>
      <w:r w:rsidRPr="0022319A">
        <w:rPr>
          <w:lang w:val="en-CA"/>
        </w:rPr>
        <w:t xml:space="preserve"> 293)</w:t>
      </w:r>
      <w:r>
        <w:rPr>
          <w:lang w:val="en-CA"/>
        </w:rPr>
        <w:t>.</w:t>
      </w:r>
      <w:r w:rsidRPr="0022319A">
        <w:rPr>
          <w:lang w:val="en-CA"/>
        </w:rPr>
        <w:t xml:space="preserve"> Although the wasp and the orchid belong to quite different realms, the deterritorialization that they share allows them to find a common zone of proximity. It is well know</w:t>
      </w:r>
      <w:r>
        <w:rPr>
          <w:lang w:val="en-CA"/>
        </w:rPr>
        <w:t>n</w:t>
      </w:r>
      <w:r w:rsidRPr="0022319A">
        <w:rPr>
          <w:lang w:val="en-CA"/>
        </w:rPr>
        <w:t xml:space="preserve"> that some orchids cunningly trick male wasps by emitting a chemical substance resembling female wasps’ pheromones and that their petals hold a physiological likeness to the female wasp. As a result, the male wasp has frequent intercourse with the orchid, thus promoting the pollination of yet other plants. In fact, the more often the orchid succeeds in bringing the wasp to orgasm, the better the pollination.</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Deleuze and Guattari suggest a new way of seeing nature that does not classify by genus and species, and that does not define living bodies by their organs and functions. Indeed, for Deleuze and Guattari, the nature in which becomings take place is </w:t>
      </w:r>
      <w:r>
        <w:rPr>
          <w:lang w:val="en-CA"/>
        </w:rPr>
        <w:t xml:space="preserve">a </w:t>
      </w:r>
      <w:r w:rsidRPr="0022319A">
        <w:rPr>
          <w:lang w:val="en-CA"/>
        </w:rPr>
        <w:t xml:space="preserve">synonym for a series of machinic assemblages. Humans participate in this inter-affective universe without, however, having any privilege in it. Moreover, just like any other becoming, non-human becomings of </w:t>
      </w:r>
      <w:r>
        <w:rPr>
          <w:lang w:val="en-CA"/>
        </w:rPr>
        <w:t>humans</w:t>
      </w:r>
      <w:r w:rsidRPr="0022319A">
        <w:rPr>
          <w:lang w:val="en-CA"/>
        </w:rPr>
        <w:t xml:space="preserve"> do not imply perfect symbiosis. After all, these becomings can always be “botched,” rendering possible what might be called “natural catastrophes” when, for instance, molecular signs are not well perceived or when the line of flight turns into a line of death.</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In sum, Deleuze and Guattari’s notion of becoming introduces a new vision of nature. Within it, assemblages are taking place on the edge of the human, animal, vegetal, etc. worlds, and familiar entities</w:t>
      </w:r>
      <w:r w:rsidRPr="0022319A">
        <w:rPr>
          <w:rStyle w:val="resultbody"/>
          <w:lang w:val="en-CA"/>
        </w:rPr>
        <w:t xml:space="preserve">, such as the sky, the earth, </w:t>
      </w:r>
      <w:r>
        <w:rPr>
          <w:rStyle w:val="resultbody"/>
          <w:lang w:val="en-CA"/>
        </w:rPr>
        <w:t xml:space="preserve">and </w:t>
      </w:r>
      <w:r w:rsidRPr="0022319A">
        <w:rPr>
          <w:rStyle w:val="resultbody"/>
          <w:lang w:val="en-CA"/>
        </w:rPr>
        <w:t xml:space="preserve">the sea, </w:t>
      </w:r>
      <w:r w:rsidRPr="0022319A">
        <w:rPr>
          <w:lang w:val="en-CA"/>
        </w:rPr>
        <w:t xml:space="preserve">can become </w:t>
      </w:r>
      <w:r w:rsidRPr="0022319A">
        <w:rPr>
          <w:rStyle w:val="resultbody"/>
          <w:lang w:val="en-CA"/>
        </w:rPr>
        <w:t xml:space="preserve">haecceities. Each can be linked to the next by creating resonances on a plane of immanence filled with impersonal affects. It can be said that the notion of becoming solves the ancient question first asked and then left unanswered by Plato regarding the connection between the sensible world and the suprasensible world. It is precisely this </w:t>
      </w:r>
      <w:r w:rsidRPr="0022319A">
        <w:rPr>
          <w:lang w:val="en-CA"/>
        </w:rPr>
        <w:t>point of contact or passage that interests Deleuze and Guattari. However, they give a non-idealistic, hybrid, and impure answer since the becomings have broken with the universe of transcendence: the immanent and inorganic life common to all living beings and to singularities “involutes” in a series of trials, errors, and botching</w:t>
      </w:r>
      <w:r>
        <w:rPr>
          <w:lang w:val="en-CA"/>
        </w:rPr>
        <w:t>s</w:t>
      </w:r>
      <w:r w:rsidRPr="0022319A">
        <w:rPr>
          <w:lang w:val="en-CA"/>
        </w:rPr>
        <w:t xml:space="preserve"> during which some fruitful assemblages nonetheless take place.</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E35253">
      <w:pPr>
        <w:pStyle w:val="Heading3"/>
        <w:rPr>
          <w:lang w:val="en-CA"/>
        </w:rPr>
      </w:pPr>
      <w:r w:rsidRPr="0022319A">
        <w:rPr>
          <w:lang w:val="en-CA"/>
        </w:rPr>
        <w:t>Reception by contemporaries</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The reception of the notion of becoming-animal is fragmented. In what follows, </w:t>
      </w:r>
      <w:r>
        <w:rPr>
          <w:lang w:val="en-CA"/>
        </w:rPr>
        <w:t>I</w:t>
      </w:r>
      <w:r w:rsidRPr="0022319A">
        <w:rPr>
          <w:lang w:val="en-CA"/>
        </w:rPr>
        <w:t xml:space="preserve"> present some examples of this critical reception by commentators, mainly Anglo-Americans. </w:t>
      </w:r>
      <w:r w:rsidRPr="00F54D07">
        <w:t xml:space="preserve">The selection of these authors is limited to those who built a dialogue with the notion of becoming-animal. It excludes other contemporary philosophers who showed some interest for the animal, in particular those from the phenomenological stream (Heidegger, 1995; Merleau-Ponty, 2003). Also, this selection of authors can be explained by the fact that the relationship between Deleuze and phenomenology regarding Nature and the animal has been studied in great detail by secondary literature (Beaulieu, 2004 : 45-55; Beaulieu, 2005 : 352-353; Buchanan, 2008, and Memon, 2006), but very few have analysed the reception and uses of the notion of becoming-animal in contemporary thought. </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Default="002D463E" w:rsidP="00E35253">
      <w:pPr>
        <w:pStyle w:val="Heading3"/>
        <w:rPr>
          <w:lang w:val="en-CA"/>
        </w:rPr>
      </w:pPr>
      <w:r w:rsidRPr="0022319A">
        <w:rPr>
          <w:lang w:val="en-CA"/>
        </w:rPr>
        <w:t>A. Donna Haraway</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Donna Haraway is well known for h</w:t>
      </w:r>
      <w:r>
        <w:rPr>
          <w:lang w:val="en-CA"/>
        </w:rPr>
        <w:t>er post-humanist views (Haraway,</w:t>
      </w:r>
      <w:r w:rsidRPr="0022319A">
        <w:rPr>
          <w:lang w:val="en-CA"/>
        </w:rPr>
        <w:t xml:space="preserve"> 1991)</w:t>
      </w:r>
      <w:r>
        <w:rPr>
          <w:lang w:val="en-CA"/>
        </w:rPr>
        <w:t>.</w:t>
      </w:r>
      <w:r w:rsidRPr="0022319A">
        <w:rPr>
          <w:lang w:val="en-CA"/>
        </w:rPr>
        <w:t xml:space="preserve"> Though, like Deleuze and Guattari, she questions the limits between human and animal, she remains very critical of the way they answer this question. In the introduction </w:t>
      </w:r>
      <w:r>
        <w:rPr>
          <w:lang w:val="en-CA"/>
        </w:rPr>
        <w:t>to</w:t>
      </w:r>
      <w:r w:rsidRPr="0022319A">
        <w:rPr>
          <w:lang w:val="en-CA"/>
        </w:rPr>
        <w:t xml:space="preserve"> her book </w:t>
      </w:r>
      <w:r w:rsidRPr="0022319A">
        <w:rPr>
          <w:i/>
          <w:lang w:val="en-CA"/>
        </w:rPr>
        <w:t>When Species Meet</w:t>
      </w:r>
      <w:r w:rsidRPr="0022319A">
        <w:rPr>
          <w:lang w:val="en-CA"/>
        </w:rPr>
        <w:t xml:space="preserve"> (2008</w:t>
      </w:r>
      <w:r>
        <w:rPr>
          <w:lang w:val="en-CA"/>
        </w:rPr>
        <w:t>:</w:t>
      </w:r>
      <w:r w:rsidRPr="0022319A">
        <w:rPr>
          <w:lang w:val="en-CA"/>
        </w:rPr>
        <w:t xml:space="preserve"> 27-35)</w:t>
      </w:r>
      <w:r w:rsidRPr="0022319A">
        <w:rPr>
          <w:i/>
          <w:lang w:val="en-CA"/>
        </w:rPr>
        <w:t>,</w:t>
      </w:r>
      <w:r w:rsidRPr="0022319A">
        <w:rPr>
          <w:lang w:val="en-CA"/>
        </w:rPr>
        <w:t xml:space="preserve"> Haraway argues that Deleuze and Guattari’s thinking is anthropocentric and unsuccessful </w:t>
      </w:r>
      <w:r>
        <w:rPr>
          <w:lang w:val="en-CA"/>
        </w:rPr>
        <w:t>at</w:t>
      </w:r>
      <w:r w:rsidRPr="0022319A">
        <w:rPr>
          <w:lang w:val="en-CA"/>
        </w:rPr>
        <w:t xml:space="preserve"> overcoming the great divide between human and animal. Their metaphysical standpoint on the animal keeps them from building a concrete relationship with the animal founded on curiosity, emotions, and the respect </w:t>
      </w:r>
      <w:r>
        <w:rPr>
          <w:lang w:val="en-CA"/>
        </w:rPr>
        <w:t>for</w:t>
      </w:r>
      <w:r w:rsidRPr="0022319A">
        <w:rPr>
          <w:lang w:val="en-CA"/>
        </w:rPr>
        <w:t xml:space="preserve"> differences. She asserts for instance that Deleuze and Guattari are unable to appreciate the elegant curves of the chow-chow’s tail (</w:t>
      </w:r>
      <w:r w:rsidRPr="0022319A">
        <w:rPr>
          <w:i/>
          <w:lang w:val="en-CA"/>
        </w:rPr>
        <w:t>sic</w:t>
      </w:r>
      <w:r w:rsidRPr="0022319A">
        <w:rPr>
          <w:lang w:val="en-CA"/>
        </w:rPr>
        <w:t xml:space="preserve">), they </w:t>
      </w:r>
      <w:r>
        <w:rPr>
          <w:lang w:val="en-CA"/>
        </w:rPr>
        <w:t>do not</w:t>
      </w:r>
      <w:r w:rsidRPr="0022319A">
        <w:rPr>
          <w:lang w:val="en-CA"/>
        </w:rPr>
        <w:t xml:space="preserve"> have enough courage to look at the animal in the eyes, they defend the animal wildness in a non</w:t>
      </w:r>
      <w:r>
        <w:rPr>
          <w:lang w:val="en-CA"/>
        </w:rPr>
        <w:t>-</w:t>
      </w:r>
      <w:r w:rsidRPr="0022319A">
        <w:rPr>
          <w:lang w:val="en-CA"/>
        </w:rPr>
        <w:t>rational way, their sarcastic remarks towards the little cat of the old lady show not only signs of latent misogyny but also a fear of aging (</w:t>
      </w:r>
      <w:r w:rsidRPr="0022319A">
        <w:rPr>
          <w:i/>
          <w:lang w:val="en-CA"/>
        </w:rPr>
        <w:t>re-sic</w:t>
      </w:r>
      <w:r w:rsidRPr="0022319A">
        <w:rPr>
          <w:lang w:val="en-CA"/>
        </w:rPr>
        <w:t xml:space="preserve">), they understand nothing </w:t>
      </w:r>
      <w:r>
        <w:rPr>
          <w:lang w:val="en-CA"/>
        </w:rPr>
        <w:t>of</w:t>
      </w:r>
      <w:r w:rsidRPr="0022319A">
        <w:rPr>
          <w:lang w:val="en-CA"/>
        </w:rPr>
        <w:t xml:space="preserve"> the emotional value of exchanges with </w:t>
      </w:r>
      <w:r>
        <w:rPr>
          <w:lang w:val="en-CA"/>
        </w:rPr>
        <w:t xml:space="preserve">companion </w:t>
      </w:r>
      <w:r w:rsidRPr="0022319A">
        <w:rPr>
          <w:lang w:val="en-CA"/>
        </w:rPr>
        <w:t xml:space="preserve">animals, etc. In sum, Haraway counters “becoming-animal” with a “becoming with animals.” This can occur, for instance, by inviting her pet to share a meal at the table, by exchanging emotions with it or by letting a chicken freely wander </w:t>
      </w:r>
      <w:r>
        <w:rPr>
          <w:lang w:val="en-CA"/>
        </w:rPr>
        <w:t xml:space="preserve">around </w:t>
      </w:r>
      <w:r w:rsidRPr="0022319A">
        <w:rPr>
          <w:lang w:val="en-CA"/>
        </w:rPr>
        <w:t xml:space="preserve">the kitchen. For Haraway, to develop such a relationship with animals is not the sign of </w:t>
      </w:r>
      <w:r w:rsidRPr="0022319A">
        <w:rPr>
          <w:rStyle w:val="Emphasis"/>
          <w:i w:val="0"/>
        </w:rPr>
        <w:t>Œ</w:t>
      </w:r>
      <w:r w:rsidRPr="0022319A">
        <w:rPr>
          <w:lang w:val="en-CA"/>
        </w:rPr>
        <w:t xml:space="preserve">dipal regression but, on the contrary, an indication of our capacity to overcome anthropomorphism by learning how to live in a post-human environment. </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Haraway’s critiques of Deleuze and Guattari reveal an obvious </w:t>
      </w:r>
      <w:r>
        <w:rPr>
          <w:lang w:val="en-CA"/>
        </w:rPr>
        <w:t xml:space="preserve">and almost malicious </w:t>
      </w:r>
      <w:r w:rsidRPr="0022319A">
        <w:rPr>
          <w:lang w:val="en-CA"/>
        </w:rPr>
        <w:t>misunderstanding. Contrary to what Haraway suggests, Deleuze and Guattari show true curiosity coupled with a certain fascination for animals. However, it is true that the animal remains above all conceptual for them. Refusing this metaphysical approach through which the existence of an inorganic and impersonal life is asserted makes it difficult—even impossible—to appreciate this conception of animal or becoming-animal. Haraway nevertheless shows obvious signs of bad faith when she sees a strict dualism in Deleuze and Guattari between the “wild wolf” and the “domestic dog.” Deleuze and Guattari clearly state that “it is possible for any animal to be treated in the mode of the pack” (2005</w:t>
      </w:r>
      <w:r>
        <w:rPr>
          <w:lang w:val="en-CA"/>
        </w:rPr>
        <w:t>:</w:t>
      </w:r>
      <w:r w:rsidRPr="0022319A">
        <w:rPr>
          <w:lang w:val="en-CA"/>
        </w:rPr>
        <w:t xml:space="preserve"> 241)</w:t>
      </w:r>
      <w:r>
        <w:rPr>
          <w:lang w:val="en-CA"/>
        </w:rPr>
        <w:t>.</w:t>
      </w:r>
      <w:r w:rsidRPr="0022319A">
        <w:rPr>
          <w:lang w:val="en-CA"/>
        </w:rPr>
        <w:t xml:space="preserve"> A house cat or a lap dog can produce as many affects as a dingo or a street cat. Thus, it is wrong to believe that Deleuze and Guattari are “against dogs and cats” just because these latter are the most common domesticated animals. Formulating the problem in terms of “for or against dogs and cats” misses the more fundamental question raised by Deleuze and Guattari, who examine the link between human and animal, a link that cannot logically be entirely human or totally animal.</w:t>
      </w:r>
    </w:p>
    <w:p w:rsidR="002D463E"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r w:rsidRPr="0022319A">
        <w:rPr>
          <w:lang w:val="en-CA"/>
        </w:rPr>
        <w:t xml:space="preserve">Haraway misses the molecular links and, clearly, she </w:t>
      </w:r>
      <w:r>
        <w:rPr>
          <w:lang w:val="en-CA"/>
        </w:rPr>
        <w:t>fails to</w:t>
      </w:r>
      <w:r w:rsidRPr="0022319A">
        <w:rPr>
          <w:lang w:val="en-CA"/>
        </w:rPr>
        <w:t xml:space="preserve"> understand what is at stake in Deleuze and Guattari</w:t>
      </w:r>
      <w:r>
        <w:rPr>
          <w:lang w:val="en-CA"/>
        </w:rPr>
        <w:t>’</w:t>
      </w:r>
      <w:r w:rsidRPr="0022319A">
        <w:rPr>
          <w:lang w:val="en-CA"/>
        </w:rPr>
        <w:t>s metaphysics. Whereas Deleuze and Guattari are experiencing assemblages through zones of proximity filled with impersonal affects, Haraway on her side personalises the encounter with animal species in order to generate a series of emotional exchanges between species that nonetheless remain heterogenous to each other. It seems difficult to reconcile the two perspectives, namely Deleuze and Guattari</w:t>
      </w:r>
      <w:r>
        <w:rPr>
          <w:lang w:val="en-CA"/>
        </w:rPr>
        <w:t>’</w:t>
      </w:r>
      <w:r w:rsidRPr="0022319A">
        <w:rPr>
          <w:lang w:val="en-CA"/>
        </w:rPr>
        <w:t>s molecular animal as an expression of a power (</w:t>
      </w:r>
      <w:r w:rsidRPr="0022319A">
        <w:rPr>
          <w:i/>
          <w:lang w:val="en-CA"/>
        </w:rPr>
        <w:t>puissance</w:t>
      </w:r>
      <w:r w:rsidRPr="0022319A">
        <w:rPr>
          <w:lang w:val="en-CA"/>
        </w:rPr>
        <w:t>) of deterritorialisation and Haraway</w:t>
      </w:r>
      <w:r>
        <w:rPr>
          <w:lang w:val="en-CA"/>
        </w:rPr>
        <w:t>’</w:t>
      </w:r>
      <w:r w:rsidRPr="0022319A">
        <w:rPr>
          <w:lang w:val="en-CA"/>
        </w:rPr>
        <w:t xml:space="preserve">s molar animal partially humanised. However, as Linda Williams (2009) argues, despite the deep divergences, </w:t>
      </w:r>
      <w:r w:rsidRPr="0022319A">
        <w:t>Deleuze/Guattari and Haraway’s views can meet notably in their implicit common critique of the notorious Heideggerian</w:t>
      </w:r>
      <w:r>
        <w:t>’</w:t>
      </w:r>
      <w:r w:rsidRPr="0022319A">
        <w:t>s thesis of the animal world</w:t>
      </w:r>
      <w:r>
        <w:t>’</w:t>
      </w:r>
      <w:r w:rsidRPr="0022319A">
        <w:t>s poverty. One could say that they overturn this thesis in the context of the extinction of species where it is rather the human world that impoverishes by diminishing the possibilities of inter-species assemblages and encounters.</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E35253">
      <w:pPr>
        <w:pStyle w:val="Heading3"/>
        <w:rPr>
          <w:lang w:val="en-CA"/>
        </w:rPr>
      </w:pPr>
      <w:r w:rsidRPr="0022319A">
        <w:rPr>
          <w:lang w:val="en-CA"/>
        </w:rPr>
        <w:t>B. Steve Baker</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 w:val="left" w:pos="6946"/>
        </w:tabs>
        <w:autoSpaceDE w:val="0"/>
        <w:autoSpaceDN w:val="0"/>
        <w:adjustRightInd w:val="0"/>
        <w:rPr>
          <w:lang w:val="en-CA"/>
        </w:rPr>
      </w:pPr>
      <w:r w:rsidRPr="0022319A">
        <w:rPr>
          <w:lang w:val="en-CA"/>
        </w:rPr>
        <w:t>Steve Baker demonstrates a better appreciation than Haraway of the becoming-animal (Baker</w:t>
      </w:r>
      <w:r>
        <w:rPr>
          <w:lang w:val="en-CA"/>
        </w:rPr>
        <w:t>,</w:t>
      </w:r>
      <w:r w:rsidRPr="0022319A">
        <w:rPr>
          <w:lang w:val="en-CA"/>
        </w:rPr>
        <w:t xml:space="preserve"> 1993</w:t>
      </w:r>
      <w:r>
        <w:rPr>
          <w:lang w:val="en-CA"/>
        </w:rPr>
        <w:t>; Baker,</w:t>
      </w:r>
      <w:r w:rsidRPr="0022319A">
        <w:rPr>
          <w:lang w:val="en-CA"/>
        </w:rPr>
        <w:t xml:space="preserve"> 2000</w:t>
      </w:r>
      <w:r>
        <w:rPr>
          <w:lang w:val="en-CA"/>
        </w:rPr>
        <w:t>:</w:t>
      </w:r>
      <w:r w:rsidRPr="0022319A">
        <w:rPr>
          <w:lang w:val="en-CA"/>
        </w:rPr>
        <w:t xml:space="preserve"> 99-134</w:t>
      </w:r>
      <w:r>
        <w:rPr>
          <w:lang w:val="en-CA"/>
        </w:rPr>
        <w:t>; Baker,</w:t>
      </w:r>
      <w:r w:rsidRPr="0022319A">
        <w:rPr>
          <w:lang w:val="en-CA"/>
        </w:rPr>
        <w:t xml:space="preserve"> 2002</w:t>
      </w:r>
      <w:r>
        <w:rPr>
          <w:lang w:val="en-CA"/>
        </w:rPr>
        <w:t>:</w:t>
      </w:r>
      <w:r w:rsidRPr="0022319A">
        <w:rPr>
          <w:lang w:val="en-CA"/>
        </w:rPr>
        <w:t xml:space="preserve"> 67-98)</w:t>
      </w:r>
      <w:r>
        <w:rPr>
          <w:lang w:val="en-CA"/>
        </w:rPr>
        <w:t>.</w:t>
      </w:r>
      <w:r w:rsidRPr="0022319A">
        <w:rPr>
          <w:lang w:val="en-CA"/>
        </w:rPr>
        <w:t xml:space="preserve"> He is interested in contemporary artists who take the animal and the human/animal relationship as a theme for their work. Exploiting the notion of becoming-animal, Baker comments on the work of numerous artists (Joseph Beuys, Carolee Schneeman, Dennis Oppenheim, etc.). Baker takes an important aspect of Deleuze and Guattari’s analysis of becoming</w:t>
      </w:r>
      <w:r>
        <w:rPr>
          <w:lang w:val="en-CA"/>
        </w:rPr>
        <w:t>s-animal</w:t>
      </w:r>
      <w:r w:rsidRPr="0022319A">
        <w:rPr>
          <w:lang w:val="en-CA"/>
        </w:rPr>
        <w:t xml:space="preserve"> a step further by studying its expression in the arts and literature. Deleuze (often with Guattari) had already analyzed the connections between art and becoming</w:t>
      </w:r>
      <w:r>
        <w:rPr>
          <w:lang w:val="en-CA"/>
        </w:rPr>
        <w:t>s-animal</w:t>
      </w:r>
      <w:r w:rsidRPr="0022319A">
        <w:rPr>
          <w:lang w:val="en-CA"/>
        </w:rPr>
        <w:t>, particularly using the paintings of Bacon, the role of writers, and the bird-artist. It is perfectly relevant to highlight, as</w:t>
      </w:r>
      <w:r>
        <w:rPr>
          <w:lang w:val="en-CA"/>
        </w:rPr>
        <w:t xml:space="preserve"> Baker and other do (Thompson, </w:t>
      </w:r>
      <w:r w:rsidRPr="0022319A">
        <w:rPr>
          <w:lang w:val="en-CA"/>
        </w:rPr>
        <w:t>2005), that animality is a major topic in</w:t>
      </w:r>
      <w:r>
        <w:rPr>
          <w:lang w:val="en-CA"/>
        </w:rPr>
        <w:t xml:space="preserve"> </w:t>
      </w:r>
      <w:r w:rsidRPr="0022319A">
        <w:rPr>
          <w:lang w:val="en-CA"/>
        </w:rPr>
        <w:t>contemporary art, and Deleuze and Guattari’s concepts can indeed help us grasp this specific presence of the animal.</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Throughout his analysis, Baker rightly states that, </w:t>
      </w:r>
      <w:r>
        <w:rPr>
          <w:lang w:val="en-CA"/>
        </w:rPr>
        <w:t xml:space="preserve">as </w:t>
      </w:r>
      <w:r w:rsidRPr="0022319A">
        <w:rPr>
          <w:lang w:val="en-CA"/>
        </w:rPr>
        <w:t xml:space="preserve">opposed to a certain trend in post-humanistic writings, the dissolution of identities in the experience of becoming is not complete for Deleuze and Guattari. Indeed, assemblages only partially eliminate the identities of each of the becomings’ parts: “Separate bodies enter into alliances </w:t>
      </w:r>
      <w:r w:rsidRPr="0022319A">
        <w:rPr>
          <w:i/>
          <w:lang w:val="en-CA"/>
        </w:rPr>
        <w:t>in order to do things</w:t>
      </w:r>
      <w:r w:rsidRPr="0022319A">
        <w:rPr>
          <w:lang w:val="en-CA"/>
        </w:rPr>
        <w:t>, but are not undone by it. The wasp and orchid, after their becoming, are still wasp and orchid” (Baker</w:t>
      </w:r>
      <w:r>
        <w:rPr>
          <w:lang w:val="en-CA"/>
        </w:rPr>
        <w:t>,</w:t>
      </w:r>
      <w:r w:rsidRPr="0022319A">
        <w:rPr>
          <w:lang w:val="en-CA"/>
        </w:rPr>
        <w:t xml:space="preserve"> 2000</w:t>
      </w:r>
      <w:r>
        <w:rPr>
          <w:lang w:val="en-CA"/>
        </w:rPr>
        <w:t>:</w:t>
      </w:r>
      <w:r w:rsidRPr="0022319A">
        <w:rPr>
          <w:lang w:val="en-CA"/>
        </w:rPr>
        <w:t xml:space="preserve"> 133)</w:t>
      </w:r>
      <w:r>
        <w:rPr>
          <w:lang w:val="en-CA"/>
        </w:rPr>
        <w:t>.</w:t>
      </w:r>
      <w:r w:rsidRPr="0022319A">
        <w:rPr>
          <w:lang w:val="en-CA"/>
        </w:rPr>
        <w:t xml:space="preserve"> According to Baker, some contemporary art </w:t>
      </w:r>
      <w:r>
        <w:rPr>
          <w:lang w:val="en-CA"/>
        </w:rPr>
        <w:t>expresses</w:t>
      </w:r>
      <w:r w:rsidRPr="0022319A">
        <w:rPr>
          <w:lang w:val="en-CA"/>
        </w:rPr>
        <w:t xml:space="preserve"> this transitory character of becomings between animality and humanity, thus escaping the mere artistic production of monsters. Therefore, based on Deleuze’s study of Bacon, one could say that becoming is a form of figural art, in the sense that the diagram should not completely invade the canvas. </w:t>
      </w:r>
    </w:p>
    <w:p w:rsidR="002D463E" w:rsidRPr="0022319A" w:rsidRDefault="002D463E" w:rsidP="002D463E">
      <w:pPr>
        <w:widowControl w:val="0"/>
        <w:tabs>
          <w:tab w:val="left" w:pos="560"/>
          <w:tab w:val="left" w:pos="1120"/>
          <w:tab w:val="left" w:pos="1680"/>
          <w:tab w:val="left" w:pos="2240"/>
          <w:tab w:val="left" w:pos="2268"/>
          <w:tab w:val="left" w:pos="2800"/>
          <w:tab w:val="left" w:pos="3360"/>
          <w:tab w:val="left" w:pos="3920"/>
          <w:tab w:val="left" w:pos="4480"/>
          <w:tab w:val="left" w:pos="5040"/>
          <w:tab w:val="left" w:pos="5600"/>
          <w:tab w:val="left" w:pos="6160"/>
          <w:tab w:val="left" w:pos="6720"/>
        </w:tabs>
        <w:autoSpaceDE w:val="0"/>
        <w:autoSpaceDN w:val="0"/>
        <w:adjustRightInd w:val="0"/>
        <w:rPr>
          <w:lang w:val="en-CA"/>
        </w:rPr>
      </w:pPr>
    </w:p>
    <w:p w:rsidR="002D463E" w:rsidRPr="0022319A" w:rsidRDefault="002D463E" w:rsidP="00E35253">
      <w:pPr>
        <w:pStyle w:val="Heading3"/>
        <w:rPr>
          <w:lang w:val="en-CA"/>
        </w:rPr>
      </w:pPr>
      <w:r w:rsidRPr="0022319A">
        <w:rPr>
          <w:lang w:val="en-CA"/>
        </w:rPr>
        <w:t xml:space="preserve">C. Philosophy of </w:t>
      </w:r>
      <w:r>
        <w:rPr>
          <w:lang w:val="en-CA"/>
        </w:rPr>
        <w:t xml:space="preserve">the </w:t>
      </w:r>
      <w:r w:rsidRPr="0022319A">
        <w:rPr>
          <w:lang w:val="en-CA"/>
        </w:rPr>
        <w:t>environment</w:t>
      </w:r>
    </w:p>
    <w:p w:rsidR="002D463E" w:rsidRPr="0022319A" w:rsidRDefault="002D463E" w:rsidP="002D463E">
      <w:pPr>
        <w:tabs>
          <w:tab w:val="left" w:pos="2268"/>
        </w:tabs>
        <w:rPr>
          <w:lang w:val="en-CA"/>
        </w:rPr>
      </w:pPr>
      <w:r w:rsidRPr="0022319A">
        <w:t>The theses regarding Nature and the animal, including not only the writings of Deleuze and Guattari but extend</w:t>
      </w:r>
      <w:r>
        <w:t>ing</w:t>
      </w:r>
      <w:r w:rsidRPr="0022319A">
        <w:t xml:space="preserve"> to those of Guattari in his s</w:t>
      </w:r>
      <w:r>
        <w:t>olo work as well (Guattari, 1984; Guattari, 1995; Guattari,</w:t>
      </w:r>
      <w:r w:rsidRPr="0022319A">
        <w:t xml:space="preserve"> 2008; Antonioli</w:t>
      </w:r>
      <w:r>
        <w:t>,</w:t>
      </w:r>
      <w:r w:rsidRPr="0022319A">
        <w:t xml:space="preserve"> 2003</w:t>
      </w:r>
      <w:r>
        <w:t>;</w:t>
      </w:r>
      <w:r w:rsidRPr="0022319A">
        <w:t xml:space="preserve"> Afeissa</w:t>
      </w:r>
      <w:r>
        <w:t>,</w:t>
      </w:r>
      <w:r w:rsidRPr="0022319A">
        <w:t xml:space="preserve"> 2009), have received widespread attention in the field of philosophy of environment (Chisholm</w:t>
      </w:r>
      <w:r>
        <w:t>,</w:t>
      </w:r>
      <w:r w:rsidRPr="0022319A">
        <w:t xml:space="preserve"> 2007</w:t>
      </w:r>
      <w:r>
        <w:t>;</w:t>
      </w:r>
      <w:r w:rsidRPr="0022319A">
        <w:t xml:space="preserve"> Goetz</w:t>
      </w:r>
      <w:r>
        <w:t>,</w:t>
      </w:r>
      <w:r w:rsidRPr="0022319A">
        <w:t xml:space="preserve"> 2007</w:t>
      </w:r>
      <w:r>
        <w:t>;</w:t>
      </w:r>
      <w:r w:rsidRPr="0022319A">
        <w:t xml:space="preserve"> </w:t>
      </w:r>
      <w:r>
        <w:t>Herzogenrath, 2008; Herzogenrath,</w:t>
      </w:r>
      <w:r w:rsidRPr="0022319A">
        <w:t xml:space="preserve"> 2009</w:t>
      </w:r>
      <w:r>
        <w:t>;</w:t>
      </w:r>
      <w:r w:rsidRPr="0022319A">
        <w:t xml:space="preserve"> Neimanis</w:t>
      </w:r>
      <w:r>
        <w:t>,</w:t>
      </w:r>
      <w:r w:rsidRPr="0022319A">
        <w:t xml:space="preserve"> 2007)</w:t>
      </w:r>
      <w:r w:rsidRPr="0022319A">
        <w:rPr>
          <w:lang w:val="en-CA"/>
        </w:rPr>
        <w:t>. My goal here is not to comment on all of these works, but rather to stress the incompatibilities between Deleuze and Guattari</w:t>
      </w:r>
      <w:r>
        <w:rPr>
          <w:lang w:val="en-CA"/>
        </w:rPr>
        <w:t>’</w:t>
      </w:r>
      <w:r w:rsidRPr="0022319A">
        <w:rPr>
          <w:lang w:val="en-CA"/>
        </w:rPr>
        <w:t xml:space="preserve">s environmentalist positions and the dominant political, juridical and moralistic discourses. </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The Deleuzo-Guattarian approach </w:t>
      </w:r>
      <w:r>
        <w:rPr>
          <w:lang w:val="en-CA"/>
        </w:rPr>
        <w:t>to the</w:t>
      </w:r>
      <w:r w:rsidRPr="0022319A">
        <w:rPr>
          <w:lang w:val="en-CA"/>
        </w:rPr>
        <w:t xml:space="preserve"> environment is not primarily addressed to legislative powers and policy makers. The adoption of laws for the preservation of wild animal life has nothing to do with the intrinsic capacities of affectability between the human and the animal. In other words, the attention brought to the becoming-animal and other forms of becomings can change various practices and attitudes towards the environment, but this transformation remains independent of political regulation. In fact, Deleuze and Guattari’s sensitivity to </w:t>
      </w:r>
      <w:r>
        <w:rPr>
          <w:lang w:val="en-CA"/>
        </w:rPr>
        <w:t xml:space="preserve">the </w:t>
      </w:r>
      <w:r w:rsidRPr="0022319A">
        <w:rPr>
          <w:lang w:val="en-CA"/>
        </w:rPr>
        <w:t>environment is an attempt to promote the opposite of political regulation. This Nietzschean idea that artists and writers are in a better place than professional politicians to do politics can be found throughout their work: Nietzsche’s “Great politics” become a “micro-politics” of minoritarian becomings. By experiencing becoming</w:t>
      </w:r>
      <w:r>
        <w:rPr>
          <w:lang w:val="en-CA"/>
        </w:rPr>
        <w:t>s-animal</w:t>
      </w:r>
      <w:r w:rsidRPr="0022319A">
        <w:rPr>
          <w:lang w:val="en-CA"/>
        </w:rPr>
        <w:t xml:space="preserve">, artists and writers are expressing minoritarian becomings likely to create a “nomadic people to come.” The most extraordinary is that these practices can happen without relying on political regulation, and thus can go without political activism and rights defence. </w:t>
      </w:r>
      <w:r w:rsidRPr="0022319A">
        <w:t xml:space="preserve">So it is difficult to integrate the </w:t>
      </w:r>
      <w:r w:rsidRPr="0022319A">
        <w:rPr>
          <w:lang w:val="en-CA"/>
        </w:rPr>
        <w:t>becoming-animal, for example, in the framework of the ethics of animal</w:t>
      </w:r>
      <w:r>
        <w:rPr>
          <w:lang w:val="en-CA"/>
        </w:rPr>
        <w:t>’</w:t>
      </w:r>
      <w:r w:rsidRPr="0022319A">
        <w:rPr>
          <w:lang w:val="en-CA"/>
        </w:rPr>
        <w:t>s liberation for which Peter Singer</w:t>
      </w:r>
      <w:r>
        <w:rPr>
          <w:lang w:val="en-CA"/>
        </w:rPr>
        <w:t xml:space="preserve"> (1975)</w:t>
      </w:r>
      <w:r w:rsidRPr="0022319A">
        <w:rPr>
          <w:lang w:val="en-CA"/>
        </w:rPr>
        <w:t xml:space="preserve"> is the most famous standard bearer. We must note, however, that Guattari was a more committed political activist than Deleuze, as Guattari’s membership </w:t>
      </w:r>
      <w:r>
        <w:rPr>
          <w:lang w:val="en-CA"/>
        </w:rPr>
        <w:t>in</w:t>
      </w:r>
      <w:r w:rsidRPr="0022319A">
        <w:rPr>
          <w:lang w:val="en-CA"/>
        </w:rPr>
        <w:t xml:space="preserve"> the Green Party illustrates. However, Guattari</w:t>
      </w:r>
      <w:r>
        <w:rPr>
          <w:lang w:val="en-CA"/>
        </w:rPr>
        <w:t>’</w:t>
      </w:r>
      <w:r w:rsidRPr="0022319A">
        <w:rPr>
          <w:lang w:val="en-CA"/>
        </w:rPr>
        <w:t>s “ecosophy” does</w:t>
      </w:r>
      <w:r>
        <w:rPr>
          <w:lang w:val="en-CA"/>
        </w:rPr>
        <w:t xml:space="preserve"> </w:t>
      </w:r>
      <w:r w:rsidRPr="0022319A">
        <w:rPr>
          <w:lang w:val="en-CA"/>
        </w:rPr>
        <w:t>n</w:t>
      </w:r>
      <w:r>
        <w:rPr>
          <w:lang w:val="en-CA"/>
        </w:rPr>
        <w:t>o</w:t>
      </w:r>
      <w:r w:rsidRPr="0022319A">
        <w:rPr>
          <w:lang w:val="en-CA"/>
        </w:rPr>
        <w:t>t grant any privilege to the animal as an “ethical subject</w:t>
      </w:r>
      <w:r>
        <w:rPr>
          <w:lang w:val="en-CA"/>
        </w:rPr>
        <w:t>,</w:t>
      </w:r>
      <w:r w:rsidRPr="0022319A">
        <w:rPr>
          <w:lang w:val="en-CA"/>
        </w:rPr>
        <w:t>” since what matters to him consists primarily of thinking together without isolating the environmental, social and mental ecologies.</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The Deleuzo-Guattarian approach neither implies a managing politics nor is it founded on a moral of the Good. There is no primordial natural harmony that would be perfectly realized in Deleuze and Guattari’s chaosmic universe since becomings always imply the risk of the machinic assemblages being “botched.” Therefore, there is no need to subsume non-human becomings into a supreme Good linked to an environmental ethics. The question is not to defend the rights of animals or plants, pity the beasts</w:t>
      </w:r>
      <w:r>
        <w:rPr>
          <w:lang w:val="en-CA"/>
        </w:rPr>
        <w:t>,</w:t>
      </w:r>
      <w:r w:rsidRPr="0022319A">
        <w:rPr>
          <w:lang w:val="en-CA"/>
        </w:rPr>
        <w:t xml:space="preserve"> or experience deep feelings for plants. Rather, it is to be worthy when confronted with the joy or suffering that all beings face, and</w:t>
      </w:r>
      <w:r>
        <w:rPr>
          <w:lang w:val="en-CA"/>
        </w:rPr>
        <w:t xml:space="preserve"> to</w:t>
      </w:r>
      <w:r w:rsidRPr="0022319A">
        <w:rPr>
          <w:lang w:val="en-CA"/>
        </w:rPr>
        <w:t xml:space="preserve"> forge alliances with non-human beings. If there is a Deleuzo-Guattarian ethics of the environment, it is not an </w:t>
      </w:r>
      <w:r w:rsidRPr="0022319A">
        <w:rPr>
          <w:rStyle w:val="Emphasis"/>
          <w:i w:val="0"/>
          <w:lang w:val="en-CA"/>
        </w:rPr>
        <w:t>ethics</w:t>
      </w:r>
      <w:r w:rsidRPr="0022319A">
        <w:rPr>
          <w:lang w:val="en-CA"/>
        </w:rPr>
        <w:t xml:space="preserve"> of compassion in the face of suffering but rather an ethics through which one becomes </w:t>
      </w:r>
      <w:r w:rsidRPr="0022319A">
        <w:rPr>
          <w:rStyle w:val="Emphasis"/>
          <w:i w:val="0"/>
          <w:lang w:val="en-CA"/>
        </w:rPr>
        <w:t>worthy</w:t>
      </w:r>
      <w:r w:rsidRPr="0022319A">
        <w:rPr>
          <w:lang w:val="en-CA"/>
        </w:rPr>
        <w:t xml:space="preserve"> of the zone of proximity that happens, an ethics of solidarity with affects that seem to be the furthest from those simply produced by humans. This ethics, or more precisely this ethology, asks us to be on the lookout (</w:t>
      </w:r>
      <w:r w:rsidRPr="0022319A">
        <w:rPr>
          <w:i/>
          <w:lang w:val="en-CA"/>
        </w:rPr>
        <w:t>aux aguets</w:t>
      </w:r>
      <w:r w:rsidRPr="0022319A">
        <w:rPr>
          <w:lang w:val="en-CA"/>
        </w:rPr>
        <w:t>) in order to grasp sign-affects common to</w:t>
      </w:r>
      <w:r>
        <w:rPr>
          <w:lang w:val="en-CA"/>
        </w:rPr>
        <w:t xml:space="preserve"> both</w:t>
      </w:r>
      <w:r w:rsidRPr="0022319A">
        <w:rPr>
          <w:lang w:val="en-CA"/>
        </w:rPr>
        <w:t xml:space="preserve"> human and non-human beings.</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The becoming-animal is not a response to a moral indignation in the face of</w:t>
      </w:r>
      <w:r>
        <w:rPr>
          <w:lang w:val="en-CA"/>
        </w:rPr>
        <w:t xml:space="preserve"> </w:t>
      </w:r>
      <w:r w:rsidRPr="0022319A">
        <w:rPr>
          <w:lang w:val="en-CA"/>
        </w:rPr>
        <w:t xml:space="preserve">animal suffering, and in particular the suffering caused to non-human animals by human animals. This moral view, on which </w:t>
      </w:r>
      <w:r>
        <w:rPr>
          <w:lang w:val="en-CA"/>
        </w:rPr>
        <w:t xml:space="preserve">many </w:t>
      </w:r>
      <w:r w:rsidRPr="0022319A">
        <w:rPr>
          <w:lang w:val="en-CA"/>
        </w:rPr>
        <w:t xml:space="preserve">of the developments </w:t>
      </w:r>
      <w:r>
        <w:rPr>
          <w:lang w:val="en-CA"/>
        </w:rPr>
        <w:t>in</w:t>
      </w:r>
      <w:r w:rsidRPr="0022319A">
        <w:rPr>
          <w:lang w:val="en-CA"/>
        </w:rPr>
        <w:t xml:space="preserve"> contemporary animal ethics is founded, remains for Deleuze and Guattari too intimately linked to an inferiori</w:t>
      </w:r>
      <w:r>
        <w:rPr>
          <w:lang w:val="en-CA"/>
        </w:rPr>
        <w:t>s</w:t>
      </w:r>
      <w:r w:rsidRPr="0022319A">
        <w:rPr>
          <w:lang w:val="en-CA"/>
        </w:rPr>
        <w:t>ation of the animal while it secretly assumes the animal</w:t>
      </w:r>
      <w:r>
        <w:rPr>
          <w:lang w:val="en-CA"/>
        </w:rPr>
        <w:t>’</w:t>
      </w:r>
      <w:r w:rsidRPr="0022319A">
        <w:rPr>
          <w:lang w:val="en-CA"/>
        </w:rPr>
        <w:t xml:space="preserve">s incapacity to grasp the moral stakes that governs its own existence. </w:t>
      </w:r>
      <w:r>
        <w:rPr>
          <w:lang w:val="en-CA"/>
        </w:rPr>
        <w:t>This does not</w:t>
      </w:r>
      <w:r w:rsidRPr="0022319A">
        <w:rPr>
          <w:lang w:val="en-CA"/>
        </w:rPr>
        <w:t xml:space="preserve"> mean that Deleuze and Guattari are encouraging (no</w:t>
      </w:r>
      <w:r>
        <w:rPr>
          <w:lang w:val="en-CA"/>
        </w:rPr>
        <w:t>r</w:t>
      </w:r>
      <w:r w:rsidRPr="0022319A">
        <w:rPr>
          <w:lang w:val="en-CA"/>
        </w:rPr>
        <w:t xml:space="preserve"> even do they remain indifferent to) violence </w:t>
      </w:r>
      <w:r>
        <w:rPr>
          <w:lang w:val="en-CA"/>
        </w:rPr>
        <w:t>against</w:t>
      </w:r>
      <w:r w:rsidRPr="0022319A">
        <w:rPr>
          <w:lang w:val="en-CA"/>
        </w:rPr>
        <w:t xml:space="preserve"> animals, since such a bestiality comes from a power of domination that has nothing to do with their reformulation of the relationship between living beings. Deleuze and Guattari</w:t>
      </w:r>
      <w:r>
        <w:rPr>
          <w:lang w:val="en-CA"/>
        </w:rPr>
        <w:t>’</w:t>
      </w:r>
      <w:r w:rsidRPr="0022319A">
        <w:rPr>
          <w:lang w:val="en-CA"/>
        </w:rPr>
        <w:t>s ethology neutralises these two approaches, namely the morality of feeling and the immoralism of cruelty, which finally merge into one single anthro</w:t>
      </w:r>
      <w:r>
        <w:rPr>
          <w:lang w:val="en-CA"/>
        </w:rPr>
        <w:t>po</w:t>
      </w:r>
      <w:r w:rsidRPr="0022319A">
        <w:rPr>
          <w:lang w:val="en-CA"/>
        </w:rPr>
        <w:t>morphic perspective in which the human being maintains its position on top of creation. The becoming</w:t>
      </w:r>
      <w:r>
        <w:rPr>
          <w:lang w:val="en-CA"/>
        </w:rPr>
        <w:t>s-animal</w:t>
      </w:r>
      <w:r w:rsidRPr="0022319A">
        <w:rPr>
          <w:lang w:val="en-CA"/>
        </w:rPr>
        <w:t xml:space="preserve"> of </w:t>
      </w:r>
      <w:r>
        <w:rPr>
          <w:lang w:val="en-CA"/>
        </w:rPr>
        <w:t>humans</w:t>
      </w:r>
      <w:r w:rsidRPr="0022319A">
        <w:rPr>
          <w:lang w:val="en-CA"/>
        </w:rPr>
        <w:t xml:space="preserve"> takes place beyond Good and Evil in order to better open up the way to the experience of the good and bad ways </w:t>
      </w:r>
      <w:r>
        <w:rPr>
          <w:lang w:val="en-CA"/>
        </w:rPr>
        <w:t>of</w:t>
      </w:r>
      <w:r w:rsidRPr="0022319A">
        <w:rPr>
          <w:lang w:val="en-CA"/>
        </w:rPr>
        <w:t xml:space="preserve"> shar</w:t>
      </w:r>
      <w:r>
        <w:rPr>
          <w:lang w:val="en-CA"/>
        </w:rPr>
        <w:t>ing</w:t>
      </w:r>
      <w:r w:rsidRPr="0022319A">
        <w:rPr>
          <w:lang w:val="en-CA"/>
        </w:rPr>
        <w:t xml:space="preserve"> molecular affects within the zone of proximity where human and non-human identities dissolve.</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Thinking and experiencing the environment and the other beings that inhabit it irrespective of juridical or moralistical dominant discourses is certainly one of the </w:t>
      </w:r>
      <w:r>
        <w:rPr>
          <w:lang w:val="en-CA"/>
        </w:rPr>
        <w:t>largest</w:t>
      </w:r>
      <w:r w:rsidRPr="0022319A">
        <w:rPr>
          <w:lang w:val="en-CA"/>
        </w:rPr>
        <w:t xml:space="preserve"> challenges of this timeless approach. Another </w:t>
      </w:r>
      <w:r>
        <w:rPr>
          <w:lang w:val="en-CA"/>
        </w:rPr>
        <w:t xml:space="preserve">challenge </w:t>
      </w:r>
      <w:r w:rsidRPr="0022319A">
        <w:rPr>
          <w:lang w:val="en-CA"/>
        </w:rPr>
        <w:t>consists of seeing that the practice of minoritarian-becomings is the safest way to protect ecosystems (and even create new ones) as it is radically free from the wills of domination.</w:t>
      </w:r>
    </w:p>
    <w:p w:rsidR="002D463E" w:rsidRPr="0022319A" w:rsidRDefault="002D463E" w:rsidP="002D463E">
      <w:pPr>
        <w:tabs>
          <w:tab w:val="left" w:pos="2268"/>
        </w:tabs>
        <w:rPr>
          <w:lang w:val="en-CA"/>
        </w:rPr>
      </w:pPr>
    </w:p>
    <w:p w:rsidR="002D463E" w:rsidRPr="0022319A" w:rsidRDefault="002D463E" w:rsidP="00E35253">
      <w:pPr>
        <w:pStyle w:val="Heading3"/>
        <w:rPr>
          <w:lang w:val="en-CA"/>
        </w:rPr>
      </w:pPr>
      <w:r w:rsidRPr="0022319A">
        <w:rPr>
          <w:lang w:val="en-CA"/>
        </w:rPr>
        <w:t>Conclusion: Toward future uses?</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Though often attributed to Foucault, the invitation to use a theory as if it were a “tool box” was actually formulated originally by Deleuze (2004b</w:t>
      </w:r>
      <w:r>
        <w:rPr>
          <w:lang w:val="en-CA"/>
        </w:rPr>
        <w:t>:</w:t>
      </w:r>
      <w:r w:rsidRPr="0022319A">
        <w:rPr>
          <w:lang w:val="en-CA"/>
        </w:rPr>
        <w:t xml:space="preserve"> 208)</w:t>
      </w:r>
      <w:r>
        <w:rPr>
          <w:lang w:val="en-CA"/>
        </w:rPr>
        <w:t>.</w:t>
      </w:r>
      <w:r w:rsidRPr="0022319A">
        <w:rPr>
          <w:lang w:val="en-CA"/>
        </w:rPr>
        <w:t xml:space="preserve"> In sync, Deleuze and Guattari suggest exporting the becoming</w:t>
      </w:r>
      <w:r>
        <w:rPr>
          <w:lang w:val="en-CA"/>
        </w:rPr>
        <w:t>s-animal</w:t>
      </w:r>
      <w:r w:rsidRPr="0022319A">
        <w:rPr>
          <w:lang w:val="en-CA"/>
        </w:rPr>
        <w:t xml:space="preserve"> in the schizo-analysis field to study certain neurotic behaviors (Deleuze &amp; Guattari</w:t>
      </w:r>
      <w:r>
        <w:rPr>
          <w:lang w:val="en-CA"/>
        </w:rPr>
        <w:t>,</w:t>
      </w:r>
      <w:r w:rsidRPr="0022319A">
        <w:rPr>
          <w:lang w:val="en-CA"/>
        </w:rPr>
        <w:t xml:space="preserve"> 2005</w:t>
      </w:r>
      <w:r>
        <w:rPr>
          <w:lang w:val="en-CA"/>
        </w:rPr>
        <w:t>:</w:t>
      </w:r>
      <w:r w:rsidRPr="0022319A">
        <w:rPr>
          <w:lang w:val="en-CA"/>
        </w:rPr>
        <w:t xml:space="preserve"> 543, note 58). This attempt has not yet been fruitful, though it is fair to guess that unsuspected uses of the becoming-animal are yet to come.</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In the notion of becoming-animal, writers, artists, and philosophers might discover new potentialities that will become a source of inspiration or explanation </w:t>
      </w:r>
      <w:r>
        <w:rPr>
          <w:lang w:val="en-CA"/>
        </w:rPr>
        <w:t>for</w:t>
      </w:r>
      <w:r w:rsidRPr="0022319A">
        <w:rPr>
          <w:lang w:val="en-CA"/>
        </w:rPr>
        <w:t xml:space="preserve"> their own work. Of course, these anti-humanistic positions go against much of the human sciences and humanities, which traditionally emphasize the hierarchic distinction between the human and the animal rather than embrac</w:t>
      </w:r>
      <w:r>
        <w:rPr>
          <w:lang w:val="en-CA"/>
        </w:rPr>
        <w:t>ing</w:t>
      </w:r>
      <w:r w:rsidRPr="0022319A">
        <w:rPr>
          <w:lang w:val="en-CA"/>
        </w:rPr>
        <w:t xml:space="preserve"> a common zone of affectability. After all, claims that the animal world is as perfect as the human world (and perhaps even more so given the purity of its affects), that animals know better than humans how to die, and that art is not exclusive to humanity</w:t>
      </w:r>
      <w:r>
        <w:rPr>
          <w:lang w:val="en-CA"/>
        </w:rPr>
        <w:t>,</w:t>
      </w:r>
      <w:r w:rsidRPr="0022319A">
        <w:rPr>
          <w:lang w:val="en-CA"/>
        </w:rPr>
        <w:t xml:space="preserve"> are the kinds of assertions that raise the eyebrows of the most classical thinkers. However, by considering the possible zone of indiscernibility between the human and the animal to be “vulgar” and, moreover, by refusing to glorify this zone, the followers of more traditional views reintroduce an imperialistic view of the world and of nature that is accompanied by a series of transcendent values—the very values Deleuze and Guattari seek to deconstruct. Let us note that Deleuze and Guattari are not promoting human bestiality. Rather, they are looking for a way to radically de-hierarchize the relationships between the realms of the living, and they do this by considering that the powers of domination are the lowest degree of affectability. </w:t>
      </w:r>
    </w:p>
    <w:p w:rsidR="002D463E" w:rsidRDefault="002D463E" w:rsidP="002D463E">
      <w:pPr>
        <w:tabs>
          <w:tab w:val="left" w:pos="2268"/>
        </w:tabs>
        <w:rPr>
          <w:lang w:val="en-CA"/>
        </w:rPr>
      </w:pPr>
    </w:p>
    <w:p w:rsidR="002D463E" w:rsidRPr="0022319A" w:rsidRDefault="002D463E" w:rsidP="002D463E">
      <w:pPr>
        <w:tabs>
          <w:tab w:val="left" w:pos="2268"/>
        </w:tabs>
        <w:rPr>
          <w:lang w:val="en-CA"/>
        </w:rPr>
      </w:pPr>
      <w:r w:rsidRPr="0022319A">
        <w:rPr>
          <w:lang w:val="en-CA"/>
        </w:rPr>
        <w:t xml:space="preserve">Natural sciences have yet to take position as to the use of Deleuze and Guattari’s conception of animal. However, it would seem that </w:t>
      </w:r>
      <w:r>
        <w:rPr>
          <w:lang w:val="en-CA"/>
        </w:rPr>
        <w:t>this conception</w:t>
      </w:r>
      <w:r w:rsidRPr="0022319A">
        <w:rPr>
          <w:lang w:val="en-CA"/>
        </w:rPr>
        <w:t xml:space="preserve"> contain</w:t>
      </w:r>
      <w:r>
        <w:rPr>
          <w:lang w:val="en-CA"/>
        </w:rPr>
        <w:t>s</w:t>
      </w:r>
      <w:r w:rsidRPr="0022319A">
        <w:rPr>
          <w:lang w:val="en-CA"/>
        </w:rPr>
        <w:t xml:space="preserve"> unexplored scientific possibilities. Despite the important contributions of Von Uexküll, Lorenz, and other ethologists, decoding animal behavior remains a real challenge. The study and even the practice</w:t>
      </w:r>
      <w:r>
        <w:rPr>
          <w:lang w:val="en-CA"/>
        </w:rPr>
        <w:t>s</w:t>
      </w:r>
      <w:r w:rsidRPr="0022319A">
        <w:rPr>
          <w:lang w:val="en-CA"/>
        </w:rPr>
        <w:t xml:space="preserve"> of becoming</w:t>
      </w:r>
      <w:r>
        <w:rPr>
          <w:lang w:val="en-CA"/>
        </w:rPr>
        <w:t>s-animal</w:t>
      </w:r>
      <w:r w:rsidRPr="0022319A">
        <w:rPr>
          <w:lang w:val="en-CA"/>
        </w:rPr>
        <w:t xml:space="preserve"> could be a useful tool in this respect. Among other things, stressing metaphysical and “molecular” proximity with the animal, combined with “molar” observations, could contribute to increasing the predictions of the natural catastrophes that many animals perceive long before they happen. Indeed, although animals are known to be aware of imminent cataclysm, the warnings of micro-vibrations in the magnetic field go uncaptured by many scientific instruments. The scientific study of the becoming-animal could thus potentially imply a measurement of the energy, a quantification of the forces at play or, at the very least, a classification of their effects. This kind of analysis could also be useful for training animals for specific human needs or for zootherapies, as long as the bodies that create assemblages here are not defined by their organism but rather by their capacities of affectabilities</w:t>
      </w:r>
      <w:r w:rsidRPr="0022319A">
        <w:t xml:space="preserve">. </w:t>
      </w:r>
      <w:r w:rsidRPr="0022319A">
        <w:rPr>
          <w:lang w:val="en-CA"/>
        </w:rPr>
        <w:t>At the very least, it is certainly true to say that the experience of becoming</w:t>
      </w:r>
      <w:r>
        <w:rPr>
          <w:lang w:val="en-CA"/>
        </w:rPr>
        <w:t>s-animal</w:t>
      </w:r>
      <w:r w:rsidRPr="0022319A">
        <w:rPr>
          <w:lang w:val="en-CA"/>
        </w:rPr>
        <w:t xml:space="preserve"> is not incompatible with the ethological science from which a large part of Deleuze and Guattari’s conception of the animal is drawn. The danger here would be an instrumentalization of the animal to exploit its perceptions for human purposes. However, I believe that it is still possible to avoid this power dynamic grounded in anthropocentric domination (</w:t>
      </w:r>
      <w:r w:rsidRPr="0022319A">
        <w:rPr>
          <w:i/>
          <w:lang w:val="en-CA"/>
        </w:rPr>
        <w:t>potestas</w:t>
      </w:r>
      <w:r w:rsidRPr="0022319A">
        <w:rPr>
          <w:lang w:val="en-CA"/>
        </w:rPr>
        <w:t>) by conceiving of the scientifization of the becoming-animal in terms of an immanent exchange of the capacities of affectability (</w:t>
      </w:r>
      <w:r w:rsidRPr="0022319A">
        <w:rPr>
          <w:i/>
          <w:lang w:val="en-CA"/>
        </w:rPr>
        <w:t>potentia</w:t>
      </w:r>
      <w:r w:rsidRPr="0022319A">
        <w:rPr>
          <w:lang w:val="en-CA"/>
        </w:rPr>
        <w:t xml:space="preserve">), since </w:t>
      </w:r>
      <w:r w:rsidRPr="0022319A">
        <w:t>what matters in becoming</w:t>
      </w:r>
      <w:r>
        <w:t>s-animal</w:t>
      </w:r>
      <w:r w:rsidRPr="0022319A">
        <w:t xml:space="preserve"> is to unlearn physical and emotional habits in order to expand the world's experience. </w:t>
      </w:r>
      <w:r w:rsidRPr="0022319A">
        <w:rPr>
          <w:lang w:val="en-CA"/>
        </w:rPr>
        <w:t xml:space="preserve">This would contribute to humans changing their perception of their relationships with themselves, with other bodies, and with their environment. </w:t>
      </w:r>
    </w:p>
    <w:p w:rsidR="002D463E" w:rsidRPr="0022319A" w:rsidRDefault="002D463E" w:rsidP="002D463E">
      <w:pPr>
        <w:tabs>
          <w:tab w:val="left" w:pos="2268"/>
        </w:tabs>
        <w:rPr>
          <w:lang w:val="en-CA"/>
        </w:rPr>
      </w:pPr>
    </w:p>
    <w:p w:rsidR="002D463E" w:rsidRDefault="002D463E" w:rsidP="00E35253">
      <w:pPr>
        <w:pStyle w:val="Heading3"/>
        <w:rPr>
          <w:lang w:val="en-CA"/>
        </w:rPr>
      </w:pPr>
      <w:r w:rsidRPr="0022319A">
        <w:rPr>
          <w:lang w:val="en-CA"/>
        </w:rPr>
        <w:t>Notes</w:t>
      </w:r>
    </w:p>
    <w:p w:rsidR="00B80890" w:rsidRPr="00B80890" w:rsidRDefault="00B80890" w:rsidP="00B80890">
      <w:pPr>
        <w:rPr>
          <w:lang w:val="en-CA"/>
        </w:rPr>
      </w:pPr>
    </w:p>
    <w:p w:rsidR="002D463E" w:rsidRPr="002A77AC" w:rsidRDefault="002D463E" w:rsidP="002D463E">
      <w:pPr>
        <w:tabs>
          <w:tab w:val="left" w:pos="2268"/>
        </w:tabs>
        <w:rPr>
          <w:b/>
          <w:lang w:val="en-CA"/>
        </w:rPr>
      </w:pPr>
      <w:r w:rsidRPr="0022319A">
        <w:t xml:space="preserve">- A first version of this paper was presented at the conference </w:t>
      </w:r>
      <w:r w:rsidRPr="0022319A">
        <w:rPr>
          <w:i/>
          <w:lang w:val="en-CA"/>
        </w:rPr>
        <w:t>Rethinking the NonHuman</w:t>
      </w:r>
      <w:r w:rsidRPr="0022319A">
        <w:t>, University of Alberta (Canada), Octob</w:t>
      </w:r>
      <w:r>
        <w:t>er</w:t>
      </w:r>
      <w:r w:rsidRPr="0022319A">
        <w:t xml:space="preserve"> 3</w:t>
      </w:r>
      <w:r>
        <w:t>,</w:t>
      </w:r>
      <w:r w:rsidRPr="0022319A">
        <w:t xml:space="preserve"> 2010.</w:t>
      </w:r>
    </w:p>
    <w:p w:rsidR="002D463E" w:rsidRPr="0022319A" w:rsidRDefault="002D463E" w:rsidP="002D463E">
      <w:pPr>
        <w:tabs>
          <w:tab w:val="left" w:pos="2268"/>
        </w:tabs>
        <w:rPr>
          <w:lang w:val="en-CA"/>
        </w:rPr>
      </w:pPr>
      <w:r w:rsidRPr="0022319A">
        <w:t xml:space="preserve">- The word </w:t>
      </w:r>
      <w:r w:rsidRPr="0022319A">
        <w:rPr>
          <w:lang w:val="en-CA"/>
        </w:rPr>
        <w:t>“animal” used in this paper refers to “non-human animal</w:t>
      </w:r>
      <w:r>
        <w:rPr>
          <w:lang w:val="en-CA"/>
        </w:rPr>
        <w:t>.</w:t>
      </w:r>
      <w:r w:rsidRPr="0022319A">
        <w:rPr>
          <w:lang w:val="en-CA"/>
        </w:rPr>
        <w:t>”</w:t>
      </w:r>
    </w:p>
    <w:p w:rsidR="002D463E" w:rsidRDefault="002D463E" w:rsidP="002D463E">
      <w:pPr>
        <w:tabs>
          <w:tab w:val="left" w:pos="2268"/>
        </w:tabs>
        <w:rPr>
          <w:lang w:val="en-CA"/>
        </w:rPr>
      </w:pPr>
    </w:p>
    <w:p w:rsidR="002D463E" w:rsidRPr="00A0691B" w:rsidRDefault="002D463E" w:rsidP="00E35253">
      <w:pPr>
        <w:pStyle w:val="Heading3"/>
        <w:rPr>
          <w:lang w:val="fr-FR"/>
        </w:rPr>
      </w:pPr>
      <w:r w:rsidRPr="00A0691B">
        <w:rPr>
          <w:lang w:val="fr-FR"/>
        </w:rPr>
        <w:t>References</w:t>
      </w:r>
    </w:p>
    <w:p w:rsidR="002D463E" w:rsidRPr="00A0691B" w:rsidRDefault="002D463E" w:rsidP="002D463E">
      <w:pPr>
        <w:tabs>
          <w:tab w:val="left" w:pos="2268"/>
        </w:tabs>
        <w:rPr>
          <w:lang w:val="fr-FR"/>
        </w:rPr>
      </w:pPr>
    </w:p>
    <w:p w:rsidR="002D463E" w:rsidRPr="00A0691B" w:rsidRDefault="002D463E" w:rsidP="00F63083">
      <w:pPr>
        <w:pStyle w:val="References"/>
        <w:rPr>
          <w:rStyle w:val="ouvrage"/>
          <w:lang w:val="fr-FR"/>
        </w:rPr>
      </w:pPr>
      <w:r w:rsidRPr="0022319A">
        <w:rPr>
          <w:lang w:val="fr-CA"/>
        </w:rPr>
        <w:t>Afeissa, H.S.</w:t>
      </w:r>
      <w:r>
        <w:rPr>
          <w:lang w:val="fr-CA"/>
        </w:rPr>
        <w:t>,</w:t>
      </w:r>
      <w:r w:rsidRPr="0022319A">
        <w:rPr>
          <w:lang w:val="fr-CA"/>
        </w:rPr>
        <w:t xml:space="preserve"> (Dir.), (2009), </w:t>
      </w:r>
      <w:r w:rsidRPr="00D733C6">
        <w:rPr>
          <w:i/>
          <w:lang w:val="fr-CA"/>
        </w:rPr>
        <w:t>Écosophies. La Philosophie à l'épreuve de l'écologie</w:t>
      </w:r>
      <w:r w:rsidRPr="0022319A">
        <w:rPr>
          <w:lang w:val="fr-CA"/>
        </w:rPr>
        <w:t>, Éditions MF: Paris.</w:t>
      </w:r>
    </w:p>
    <w:p w:rsidR="002D463E" w:rsidRDefault="002D463E" w:rsidP="00F63083">
      <w:pPr>
        <w:pStyle w:val="References"/>
        <w:rPr>
          <w:rStyle w:val="ouvrage"/>
          <w:lang w:val="fr-CA"/>
        </w:rPr>
      </w:pPr>
    </w:p>
    <w:p w:rsidR="002D463E" w:rsidRDefault="002D463E" w:rsidP="00F63083">
      <w:pPr>
        <w:pStyle w:val="References"/>
        <w:rPr>
          <w:rStyle w:val="ouvrage"/>
          <w:lang w:val="fr-CA"/>
        </w:rPr>
      </w:pPr>
      <w:r w:rsidRPr="0022319A">
        <w:rPr>
          <w:rStyle w:val="ouvrage"/>
          <w:lang w:val="fr-CA"/>
        </w:rPr>
        <w:t>Antonioli, M.</w:t>
      </w:r>
      <w:r>
        <w:rPr>
          <w:rStyle w:val="ouvrage"/>
          <w:lang w:val="fr-CA"/>
        </w:rPr>
        <w:t>,</w:t>
      </w:r>
      <w:r w:rsidRPr="0022319A">
        <w:rPr>
          <w:rStyle w:val="ouvrage"/>
          <w:lang w:val="fr-CA"/>
        </w:rPr>
        <w:t xml:space="preserve"> (2003), </w:t>
      </w:r>
      <w:r w:rsidRPr="00D733C6">
        <w:rPr>
          <w:rStyle w:val="HTMLCite"/>
          <w:lang w:val="fr-FR"/>
        </w:rPr>
        <w:t>Géophilosophie de Deleuze et Guattari</w:t>
      </w:r>
      <w:r w:rsidRPr="0022319A">
        <w:rPr>
          <w:rStyle w:val="ouvrage"/>
          <w:lang w:val="fr-CA"/>
        </w:rPr>
        <w:t xml:space="preserve">, Harmattan: Paris. </w:t>
      </w:r>
    </w:p>
    <w:p w:rsidR="002D463E" w:rsidRDefault="002D463E" w:rsidP="00F63083">
      <w:pPr>
        <w:pStyle w:val="References"/>
        <w:rPr>
          <w:rStyle w:val="z3988"/>
          <w:lang w:val="fr-CA"/>
        </w:rPr>
      </w:pPr>
    </w:p>
    <w:p w:rsidR="002D463E" w:rsidRPr="0022319A" w:rsidRDefault="002D463E" w:rsidP="00F63083">
      <w:pPr>
        <w:pStyle w:val="References"/>
        <w:rPr>
          <w:rStyle w:val="z3988"/>
          <w:vanish/>
          <w:lang w:val="fr-CA"/>
        </w:rPr>
      </w:pPr>
    </w:p>
    <w:p w:rsidR="002D463E" w:rsidRPr="0022319A" w:rsidRDefault="002D463E" w:rsidP="00F63083">
      <w:pPr>
        <w:pStyle w:val="References"/>
      </w:pPr>
      <w:r w:rsidRPr="0022319A">
        <w:t>Baker, S.</w:t>
      </w:r>
      <w:r>
        <w:t>,</w:t>
      </w:r>
      <w:r w:rsidRPr="0022319A">
        <w:t xml:space="preserve"> (1993), </w:t>
      </w:r>
      <w:r w:rsidRPr="00D733C6">
        <w:rPr>
          <w:i/>
        </w:rPr>
        <w:t>Picturing the Beast. Animals, Identity and Representation</w:t>
      </w:r>
      <w:r w:rsidRPr="0022319A">
        <w:t xml:space="preserve">, Manchester University Press, Manchester. </w:t>
      </w:r>
    </w:p>
    <w:p w:rsidR="002D463E" w:rsidRDefault="002D463E" w:rsidP="00F63083">
      <w:pPr>
        <w:pStyle w:val="References"/>
      </w:pPr>
    </w:p>
    <w:p w:rsidR="002D463E" w:rsidRPr="0022319A" w:rsidRDefault="002D463E" w:rsidP="00F63083">
      <w:pPr>
        <w:pStyle w:val="References"/>
      </w:pPr>
      <w:r w:rsidRPr="0022319A">
        <w:t>Baker, S.</w:t>
      </w:r>
      <w:r>
        <w:t>,</w:t>
      </w:r>
      <w:r w:rsidRPr="0022319A">
        <w:t xml:space="preserve"> (2000), </w:t>
      </w:r>
      <w:r w:rsidRPr="00D733C6">
        <w:rPr>
          <w:i/>
        </w:rPr>
        <w:t>The Postmodern Animal</w:t>
      </w:r>
      <w:r w:rsidRPr="0022319A">
        <w:t xml:space="preserve">, Reaktion Books: London. </w:t>
      </w:r>
    </w:p>
    <w:p w:rsidR="002D463E" w:rsidRDefault="002D463E" w:rsidP="00F63083">
      <w:pPr>
        <w:pStyle w:val="References"/>
      </w:pPr>
    </w:p>
    <w:p w:rsidR="002D463E" w:rsidRPr="0022319A" w:rsidRDefault="002D463E" w:rsidP="00F63083">
      <w:pPr>
        <w:pStyle w:val="References"/>
        <w:rPr>
          <w:lang w:val="en-CA"/>
        </w:rPr>
      </w:pPr>
      <w:r w:rsidRPr="0022319A">
        <w:t>Baker, S.</w:t>
      </w:r>
      <w:r>
        <w:t>,</w:t>
      </w:r>
      <w:r w:rsidRPr="0022319A">
        <w:t xml:space="preserve"> (2002), </w:t>
      </w:r>
      <w:r w:rsidRPr="0022319A">
        <w:rPr>
          <w:lang w:val="en-CA"/>
        </w:rPr>
        <w:t>“</w:t>
      </w:r>
      <w:r w:rsidRPr="0022319A">
        <w:rPr>
          <w:lang/>
        </w:rPr>
        <w:t>What Does Becoming-Animal Look Like?</w:t>
      </w:r>
      <w:r w:rsidRPr="0022319A">
        <w:rPr>
          <w:lang w:val="en-CA"/>
        </w:rPr>
        <w:t>”</w:t>
      </w:r>
      <w:r>
        <w:rPr>
          <w:lang w:val="en-CA"/>
        </w:rPr>
        <w:t>,</w:t>
      </w:r>
      <w:r w:rsidRPr="0022319A">
        <w:rPr>
          <w:lang/>
        </w:rPr>
        <w:t xml:space="preserve"> in Nigel Rothfels (Ed.), </w:t>
      </w:r>
      <w:r w:rsidRPr="00D733C6">
        <w:rPr>
          <w:i/>
          <w:lang/>
        </w:rPr>
        <w:t>Representing Animals</w:t>
      </w:r>
      <w:r w:rsidRPr="0022319A">
        <w:rPr>
          <w:lang/>
        </w:rPr>
        <w:t>, Indiana University Press: Bloomington.</w:t>
      </w:r>
    </w:p>
    <w:p w:rsidR="002D463E" w:rsidRDefault="002D463E" w:rsidP="00F63083">
      <w:pPr>
        <w:pStyle w:val="References"/>
        <w:rPr>
          <w:lang w:val="en-CA"/>
        </w:rPr>
      </w:pPr>
    </w:p>
    <w:p w:rsidR="002D463E" w:rsidRPr="00A0691B" w:rsidRDefault="002D463E" w:rsidP="00F63083">
      <w:pPr>
        <w:pStyle w:val="References"/>
        <w:rPr>
          <w:lang w:val="fr-FR"/>
        </w:rPr>
      </w:pPr>
      <w:r w:rsidRPr="00A0691B">
        <w:rPr>
          <w:lang w:val="fr-FR"/>
        </w:rPr>
        <w:t xml:space="preserve">Beaulieu, A., (2004), </w:t>
      </w:r>
      <w:r w:rsidRPr="00A0691B">
        <w:rPr>
          <w:i/>
          <w:lang w:val="fr-FR"/>
        </w:rPr>
        <w:t>Gilles Deleuze et la phénoménologie</w:t>
      </w:r>
      <w:r w:rsidRPr="00A0691B">
        <w:rPr>
          <w:lang w:val="fr-FR"/>
        </w:rPr>
        <w:t>, Sils Maria/Vrin: Mons/Paris.</w:t>
      </w:r>
    </w:p>
    <w:p w:rsidR="002D463E" w:rsidRPr="00A0691B" w:rsidRDefault="002D463E" w:rsidP="00F63083">
      <w:pPr>
        <w:pStyle w:val="References"/>
        <w:rPr>
          <w:lang w:val="fr-FR"/>
        </w:rPr>
      </w:pPr>
    </w:p>
    <w:p w:rsidR="002D463E" w:rsidRPr="0022319A" w:rsidRDefault="002D463E" w:rsidP="00F63083">
      <w:pPr>
        <w:pStyle w:val="References"/>
      </w:pPr>
      <w:r w:rsidRPr="00A0691B">
        <w:rPr>
          <w:lang w:val="fr-FR"/>
        </w:rPr>
        <w:t xml:space="preserve">Beaulieu, A., (2005), “L'enchantement du corps chez Nietzsche et Husserl”, in Tymieniecka, A.T. (Ed.), </w:t>
      </w:r>
      <w:r w:rsidRPr="00A0691B">
        <w:rPr>
          <w:i/>
          <w:lang w:val="fr-FR"/>
        </w:rPr>
        <w:t xml:space="preserve">Phenomenology of Life. </w:t>
      </w:r>
      <w:r w:rsidRPr="00D733C6">
        <w:rPr>
          <w:i/>
        </w:rPr>
        <w:t>Meeting the Challenges of the Present-Day World</w:t>
      </w:r>
      <w:r w:rsidRPr="0022319A">
        <w:t>, Springer: Dordrecht, pp. 339-355.</w:t>
      </w:r>
    </w:p>
    <w:p w:rsidR="002D463E" w:rsidRDefault="002D463E" w:rsidP="00F63083">
      <w:pPr>
        <w:pStyle w:val="References"/>
      </w:pPr>
    </w:p>
    <w:p w:rsidR="002D463E" w:rsidRPr="0022319A" w:rsidRDefault="002D463E" w:rsidP="00F63083">
      <w:pPr>
        <w:pStyle w:val="References"/>
        <w:rPr>
          <w:rFonts w:cs="Times"/>
          <w:bCs/>
          <w:color w:val="000000"/>
          <w:szCs w:val="35"/>
        </w:rPr>
      </w:pPr>
      <w:r w:rsidRPr="0022319A">
        <w:t>Brown, L.</w:t>
      </w:r>
      <w:r>
        <w:t>,</w:t>
      </w:r>
      <w:r w:rsidRPr="0022319A">
        <w:t xml:space="preserve"> (2007), “</w:t>
      </w:r>
      <w:r w:rsidRPr="0022319A">
        <w:rPr>
          <w:rFonts w:cs="Times"/>
          <w:bCs/>
          <w:color w:val="000000"/>
          <w:szCs w:val="35"/>
        </w:rPr>
        <w:t>Becoming-Animal in the Flesh. Expanding the Ethical Reach of Deleuze and Guattari’s Tenth Plateau</w:t>
      </w:r>
      <w:r w:rsidRPr="0022319A">
        <w:t>”</w:t>
      </w:r>
      <w:r w:rsidRPr="0022319A">
        <w:rPr>
          <w:rFonts w:cs="Times"/>
          <w:bCs/>
          <w:color w:val="000000"/>
          <w:szCs w:val="35"/>
        </w:rPr>
        <w:t xml:space="preserve">, </w:t>
      </w:r>
      <w:r w:rsidRPr="00D733C6">
        <w:rPr>
          <w:rFonts w:cs="Times"/>
          <w:bCs/>
          <w:i/>
          <w:color w:val="000000"/>
          <w:szCs w:val="35"/>
        </w:rPr>
        <w:t>PhaenEx</w:t>
      </w:r>
      <w:r w:rsidRPr="0022319A">
        <w:rPr>
          <w:rFonts w:cs="Times"/>
          <w:bCs/>
          <w:color w:val="000000"/>
          <w:szCs w:val="35"/>
        </w:rPr>
        <w:t>, Vol. 2, No. 2, pp. 260-278.</w:t>
      </w:r>
    </w:p>
    <w:p w:rsidR="002D463E" w:rsidRDefault="002D463E" w:rsidP="00F63083">
      <w:pPr>
        <w:pStyle w:val="References"/>
        <w:rPr>
          <w:lang w:val="en-CA"/>
        </w:rPr>
      </w:pPr>
    </w:p>
    <w:p w:rsidR="002D463E" w:rsidRPr="0022319A" w:rsidRDefault="002D463E" w:rsidP="00F63083">
      <w:pPr>
        <w:pStyle w:val="References"/>
        <w:rPr>
          <w:lang w:val="en-CA"/>
        </w:rPr>
      </w:pPr>
      <w:r w:rsidRPr="0022319A">
        <w:rPr>
          <w:lang w:val="en-CA"/>
        </w:rPr>
        <w:t>Buchanan, B.</w:t>
      </w:r>
      <w:r>
        <w:rPr>
          <w:lang w:val="en-CA"/>
        </w:rPr>
        <w:t>,</w:t>
      </w:r>
      <w:r w:rsidRPr="0022319A">
        <w:rPr>
          <w:lang w:val="en-CA"/>
        </w:rPr>
        <w:t xml:space="preserve"> (2008), </w:t>
      </w:r>
      <w:r w:rsidRPr="00D733C6">
        <w:rPr>
          <w:i/>
          <w:lang w:val="en-CA"/>
        </w:rPr>
        <w:t>Onto-Ethologies. The Animal Environments of Uexküll, Heidegger, Merleau-Ponty and Deleuze</w:t>
      </w:r>
      <w:r w:rsidRPr="0022319A">
        <w:rPr>
          <w:lang w:val="en-CA"/>
        </w:rPr>
        <w:t>, SUNY Press: New York.</w:t>
      </w:r>
    </w:p>
    <w:p w:rsidR="002D463E" w:rsidRDefault="002D463E" w:rsidP="00F63083">
      <w:pPr>
        <w:pStyle w:val="References"/>
      </w:pPr>
    </w:p>
    <w:p w:rsidR="002D463E" w:rsidRPr="0022319A" w:rsidRDefault="002D463E" w:rsidP="00F63083">
      <w:pPr>
        <w:pStyle w:val="References"/>
      </w:pPr>
      <w:r w:rsidRPr="0022319A">
        <w:t>Chisholm, D.</w:t>
      </w:r>
      <w:r>
        <w:t>,</w:t>
      </w:r>
      <w:r w:rsidRPr="0022319A">
        <w:t xml:space="preserve"> (Ed.), (2007), </w:t>
      </w:r>
      <w:r w:rsidRPr="00D733C6">
        <w:rPr>
          <w:i/>
        </w:rPr>
        <w:t xml:space="preserve">Rhizomes </w:t>
      </w:r>
      <w:r w:rsidRPr="0022319A">
        <w:t xml:space="preserve">(e-journal), Issue 15, Special issue: </w:t>
      </w:r>
      <w:r w:rsidRPr="0022319A">
        <w:rPr>
          <w:lang w:val="en-CA"/>
        </w:rPr>
        <w:t>“</w:t>
      </w:r>
      <w:r w:rsidRPr="0022319A">
        <w:t>Deleuze and Guattari's Ecophilosophy</w:t>
      </w:r>
      <w:r w:rsidRPr="0022319A">
        <w:rPr>
          <w:lang w:val="en-CA"/>
        </w:rPr>
        <w:t>”</w:t>
      </w:r>
      <w:r w:rsidRPr="0022319A">
        <w:t xml:space="preserve">. </w:t>
      </w:r>
    </w:p>
    <w:p w:rsidR="002D463E" w:rsidRDefault="002D463E" w:rsidP="00F63083">
      <w:pPr>
        <w:pStyle w:val="References"/>
      </w:pPr>
    </w:p>
    <w:p w:rsidR="002D463E" w:rsidRPr="00A0691B" w:rsidRDefault="002D463E" w:rsidP="00F63083">
      <w:pPr>
        <w:pStyle w:val="References"/>
      </w:pPr>
      <w:r w:rsidRPr="0022319A">
        <w:t>Deleuze, G.</w:t>
      </w:r>
      <w:r>
        <w:t>,</w:t>
      </w:r>
      <w:r w:rsidRPr="0022319A">
        <w:t xml:space="preserve"> (1997), </w:t>
      </w:r>
      <w:r w:rsidRPr="00D733C6">
        <w:rPr>
          <w:i/>
        </w:rPr>
        <w:t>Essays Critical and Clinical</w:t>
      </w:r>
      <w:r w:rsidRPr="0022319A">
        <w:t>, University of Minnesota Press: Minneapolis.</w:t>
      </w:r>
    </w:p>
    <w:p w:rsidR="002D463E" w:rsidRDefault="002D463E" w:rsidP="00F63083">
      <w:pPr>
        <w:pStyle w:val="References"/>
      </w:pPr>
    </w:p>
    <w:p w:rsidR="002D463E" w:rsidRPr="00A0691B" w:rsidRDefault="002D463E" w:rsidP="00F63083">
      <w:pPr>
        <w:pStyle w:val="References"/>
      </w:pPr>
      <w:r w:rsidRPr="0022319A">
        <w:t>Deleuze, G.</w:t>
      </w:r>
      <w:r>
        <w:t>,</w:t>
      </w:r>
      <w:r w:rsidRPr="0022319A">
        <w:t xml:space="preserve"> (2002), </w:t>
      </w:r>
      <w:r w:rsidRPr="00D733C6">
        <w:rPr>
          <w:i/>
        </w:rPr>
        <w:t>Francis Bacon. The Logic of Sensation</w:t>
      </w:r>
      <w:r w:rsidRPr="0022319A">
        <w:t>, University of Minnesota Press: Minneapolis.</w:t>
      </w:r>
    </w:p>
    <w:p w:rsidR="002D463E" w:rsidRPr="00A0691B" w:rsidRDefault="002D463E" w:rsidP="00F63083">
      <w:pPr>
        <w:pStyle w:val="References"/>
      </w:pPr>
    </w:p>
    <w:p w:rsidR="002D463E" w:rsidRPr="00A0691B" w:rsidRDefault="002D463E" w:rsidP="00F63083">
      <w:pPr>
        <w:pStyle w:val="References"/>
        <w:rPr>
          <w:lang w:val="fr-FR"/>
        </w:rPr>
      </w:pPr>
      <w:r w:rsidRPr="0022319A">
        <w:rPr>
          <w:lang w:val="fr-CA"/>
        </w:rPr>
        <w:t>Deleuze, G.</w:t>
      </w:r>
      <w:r>
        <w:rPr>
          <w:lang w:val="fr-CA"/>
        </w:rPr>
        <w:t>,</w:t>
      </w:r>
      <w:r w:rsidRPr="0022319A">
        <w:rPr>
          <w:lang w:val="fr-CA"/>
        </w:rPr>
        <w:t xml:space="preserve"> (2004a), </w:t>
      </w:r>
      <w:r w:rsidRPr="00D733C6">
        <w:rPr>
          <w:i/>
          <w:lang w:val="fr-CA"/>
        </w:rPr>
        <w:t>L'Abécédaire de Gilles Deleuze</w:t>
      </w:r>
      <w:r w:rsidRPr="0022319A">
        <w:rPr>
          <w:lang w:val="fr-CA"/>
        </w:rPr>
        <w:t>, by Pierre-André Boutang, interview with Claire Parnet, Éditions Montparnasse: Paris.</w:t>
      </w:r>
    </w:p>
    <w:p w:rsidR="002D463E" w:rsidRDefault="002D463E" w:rsidP="00F63083">
      <w:pPr>
        <w:pStyle w:val="References"/>
        <w:rPr>
          <w:lang w:val="fr-CA"/>
        </w:rPr>
      </w:pPr>
    </w:p>
    <w:p w:rsidR="002D463E" w:rsidRPr="0022319A" w:rsidRDefault="002D463E" w:rsidP="00F63083">
      <w:pPr>
        <w:pStyle w:val="References"/>
      </w:pPr>
      <w:r w:rsidRPr="00A0691B">
        <w:t xml:space="preserve">Deleuze, G., (2004b), </w:t>
      </w:r>
      <w:r w:rsidRPr="00A0691B">
        <w:rPr>
          <w:i/>
        </w:rPr>
        <w:t>Desert Island and Other Texts</w:t>
      </w:r>
      <w:r w:rsidRPr="00A0691B">
        <w:t xml:space="preserve"> (1953-1974), Semiotext(e): New York.</w:t>
      </w:r>
    </w:p>
    <w:p w:rsidR="002D463E" w:rsidRDefault="002D463E" w:rsidP="00F63083">
      <w:pPr>
        <w:pStyle w:val="References"/>
      </w:pPr>
    </w:p>
    <w:p w:rsidR="002D463E" w:rsidRPr="0022319A" w:rsidRDefault="002D463E" w:rsidP="00F63083">
      <w:pPr>
        <w:pStyle w:val="References"/>
        <w:rPr>
          <w:lang w:val="en-CA"/>
        </w:rPr>
      </w:pPr>
      <w:r w:rsidRPr="0022319A">
        <w:t>Deleuze G.</w:t>
      </w:r>
      <w:r>
        <w:t>,</w:t>
      </w:r>
      <w:r w:rsidRPr="0022319A">
        <w:t xml:space="preserve"> &amp; Guattari, F.</w:t>
      </w:r>
      <w:r>
        <w:t>,</w:t>
      </w:r>
      <w:r w:rsidRPr="0022319A">
        <w:t xml:space="preserve"> (1994), </w:t>
      </w:r>
      <w:r w:rsidRPr="00D733C6">
        <w:rPr>
          <w:i/>
        </w:rPr>
        <w:t>What is Philosophy?</w:t>
      </w:r>
      <w:r w:rsidRPr="0022319A">
        <w:t>, Columbia University Press: New York.</w:t>
      </w:r>
    </w:p>
    <w:p w:rsidR="002D463E" w:rsidRDefault="002D463E" w:rsidP="00F63083">
      <w:pPr>
        <w:pStyle w:val="References"/>
      </w:pPr>
    </w:p>
    <w:p w:rsidR="002D463E" w:rsidRPr="0022319A" w:rsidRDefault="002D463E" w:rsidP="00F63083">
      <w:pPr>
        <w:pStyle w:val="References"/>
        <w:rPr>
          <w:lang w:val="en-CA"/>
        </w:rPr>
      </w:pPr>
      <w:r w:rsidRPr="0022319A">
        <w:t>Deleuze G.</w:t>
      </w:r>
      <w:r>
        <w:t>,</w:t>
      </w:r>
      <w:r w:rsidRPr="0022319A">
        <w:t xml:space="preserve"> &amp; Guattari, F. (2005), </w:t>
      </w:r>
      <w:r w:rsidRPr="00D733C6">
        <w:rPr>
          <w:i/>
        </w:rPr>
        <w:t>A Thousand Plateaus</w:t>
      </w:r>
      <w:r w:rsidRPr="0022319A">
        <w:t>, University of Minnesota Press: Minneapolis</w:t>
      </w:r>
      <w:r>
        <w:t>.</w:t>
      </w:r>
    </w:p>
    <w:p w:rsidR="002D463E" w:rsidRDefault="002D463E" w:rsidP="00F63083">
      <w:pPr>
        <w:pStyle w:val="References"/>
        <w:rPr>
          <w:lang w:val="en-CA"/>
        </w:rPr>
      </w:pPr>
    </w:p>
    <w:p w:rsidR="002D463E" w:rsidRPr="0022319A" w:rsidRDefault="002D463E" w:rsidP="00F63083">
      <w:pPr>
        <w:pStyle w:val="References"/>
        <w:rPr>
          <w:lang w:val="en-CA"/>
        </w:rPr>
      </w:pPr>
      <w:r w:rsidRPr="0022319A">
        <w:rPr>
          <w:lang w:val="en-CA"/>
        </w:rPr>
        <w:t>Derrida, J.</w:t>
      </w:r>
      <w:r>
        <w:rPr>
          <w:lang w:val="en-CA"/>
        </w:rPr>
        <w:t>,</w:t>
      </w:r>
      <w:r w:rsidRPr="0022319A">
        <w:rPr>
          <w:lang w:val="en-CA"/>
        </w:rPr>
        <w:t xml:space="preserve"> (2002), </w:t>
      </w:r>
      <w:r w:rsidRPr="0022319A">
        <w:t xml:space="preserve">“The Animal that therefore I am” [1999], </w:t>
      </w:r>
      <w:r w:rsidRPr="00D733C6">
        <w:rPr>
          <w:i/>
        </w:rPr>
        <w:t>Critical Inquiry</w:t>
      </w:r>
      <w:r w:rsidRPr="0022319A">
        <w:t>, 28, pp. 369-418.</w:t>
      </w:r>
    </w:p>
    <w:p w:rsidR="002D463E" w:rsidRDefault="002D463E" w:rsidP="00F63083">
      <w:pPr>
        <w:pStyle w:val="References"/>
        <w:rPr>
          <w:lang w:val="en-CA"/>
        </w:rPr>
      </w:pPr>
    </w:p>
    <w:p w:rsidR="002D463E" w:rsidRPr="00A0691B" w:rsidRDefault="002D463E" w:rsidP="00F63083">
      <w:pPr>
        <w:pStyle w:val="References"/>
        <w:rPr>
          <w:lang w:val="fr-FR"/>
        </w:rPr>
      </w:pPr>
      <w:r w:rsidRPr="00A0691B">
        <w:rPr>
          <w:lang w:val="fr-FR"/>
        </w:rPr>
        <w:t xml:space="preserve">Foucault, M., (2009). </w:t>
      </w:r>
      <w:r w:rsidRPr="00A0691B">
        <w:rPr>
          <w:i/>
          <w:lang w:val="fr-FR"/>
        </w:rPr>
        <w:t>Le Courage de la vérité</w:t>
      </w:r>
      <w:r w:rsidRPr="00A0691B">
        <w:rPr>
          <w:lang w:val="fr-FR"/>
        </w:rPr>
        <w:t>, Gallimard/Seuil: Paris.</w:t>
      </w:r>
    </w:p>
    <w:p w:rsidR="002D463E" w:rsidRPr="00A0691B" w:rsidRDefault="002D463E" w:rsidP="00F63083">
      <w:pPr>
        <w:pStyle w:val="References"/>
        <w:rPr>
          <w:lang w:val="fr-FR"/>
        </w:rPr>
      </w:pPr>
    </w:p>
    <w:p w:rsidR="002D463E" w:rsidRPr="00A0691B" w:rsidRDefault="002D463E" w:rsidP="00F63083">
      <w:pPr>
        <w:pStyle w:val="References"/>
        <w:rPr>
          <w:lang w:val="fr-FR"/>
        </w:rPr>
      </w:pPr>
      <w:r w:rsidRPr="00A0691B">
        <w:rPr>
          <w:lang w:val="fr-FR"/>
        </w:rPr>
        <w:t xml:space="preserve">Goetz, B., (2007), “L'araignée, le lézard et la tique: Deleuze et Heidegger lecteurs de Uexküll”, </w:t>
      </w:r>
      <w:r w:rsidRPr="00A0691B">
        <w:rPr>
          <w:i/>
          <w:lang w:val="fr-FR"/>
        </w:rPr>
        <w:t>Le Portique</w:t>
      </w:r>
      <w:r w:rsidRPr="00A0691B">
        <w:rPr>
          <w:lang w:val="fr-FR"/>
        </w:rPr>
        <w:t xml:space="preserve">, No. 20, pp. 111-132. </w:t>
      </w:r>
    </w:p>
    <w:p w:rsidR="002D463E" w:rsidRPr="00A0691B" w:rsidRDefault="002D463E" w:rsidP="00F63083">
      <w:pPr>
        <w:pStyle w:val="References"/>
        <w:rPr>
          <w:lang w:val="fr-FR"/>
        </w:rPr>
      </w:pPr>
    </w:p>
    <w:p w:rsidR="002D463E" w:rsidRPr="0022319A" w:rsidRDefault="002D463E" w:rsidP="00F63083">
      <w:pPr>
        <w:pStyle w:val="References"/>
      </w:pPr>
      <w:r w:rsidRPr="0022319A">
        <w:t>Guattari, F.</w:t>
      </w:r>
      <w:r>
        <w:t>,</w:t>
      </w:r>
      <w:r w:rsidRPr="0022319A">
        <w:t xml:space="preserve"> (1984), </w:t>
      </w:r>
      <w:r w:rsidRPr="00D733C6">
        <w:rPr>
          <w:i/>
        </w:rPr>
        <w:t>Molecular Revolution</w:t>
      </w:r>
      <w:r w:rsidRPr="0022319A">
        <w:t xml:space="preserve"> [1977], Penguin: New York. </w:t>
      </w:r>
    </w:p>
    <w:p w:rsidR="002D463E" w:rsidRDefault="002D463E" w:rsidP="00F63083">
      <w:pPr>
        <w:pStyle w:val="References"/>
      </w:pPr>
    </w:p>
    <w:p w:rsidR="002D463E" w:rsidRPr="0022319A" w:rsidRDefault="002D463E" w:rsidP="00F63083">
      <w:pPr>
        <w:pStyle w:val="References"/>
      </w:pPr>
      <w:r w:rsidRPr="0022319A">
        <w:t>Guattari, F.</w:t>
      </w:r>
      <w:r>
        <w:t>,</w:t>
      </w:r>
      <w:r w:rsidRPr="0022319A">
        <w:t xml:space="preserve"> (1995), </w:t>
      </w:r>
      <w:r w:rsidRPr="00D733C6">
        <w:rPr>
          <w:i/>
        </w:rPr>
        <w:t>Chaosmosis</w:t>
      </w:r>
      <w:r w:rsidRPr="0022319A">
        <w:t xml:space="preserve"> [1992], Indiana University Press: Bloomington. </w:t>
      </w:r>
    </w:p>
    <w:p w:rsidR="002D463E" w:rsidRDefault="002D463E" w:rsidP="00F63083">
      <w:pPr>
        <w:pStyle w:val="References"/>
      </w:pPr>
    </w:p>
    <w:p w:rsidR="002D463E" w:rsidRPr="0022319A" w:rsidRDefault="002D463E" w:rsidP="00F63083">
      <w:pPr>
        <w:pStyle w:val="References"/>
      </w:pPr>
      <w:r w:rsidRPr="0022319A">
        <w:t>Guattari, F.</w:t>
      </w:r>
      <w:r>
        <w:t>,</w:t>
      </w:r>
      <w:r w:rsidRPr="0022319A">
        <w:t xml:space="preserve"> (2008), </w:t>
      </w:r>
      <w:r w:rsidRPr="00D733C6">
        <w:rPr>
          <w:i/>
        </w:rPr>
        <w:t>The Three Ecologies</w:t>
      </w:r>
      <w:r w:rsidRPr="0022319A">
        <w:t xml:space="preserve"> [1989], Continuum: New York. </w:t>
      </w:r>
    </w:p>
    <w:p w:rsidR="002D463E" w:rsidRDefault="002D463E" w:rsidP="00F63083">
      <w:pPr>
        <w:pStyle w:val="References"/>
      </w:pPr>
    </w:p>
    <w:p w:rsidR="002D463E" w:rsidRPr="0022319A" w:rsidRDefault="002D463E" w:rsidP="00F63083">
      <w:pPr>
        <w:pStyle w:val="References"/>
        <w:rPr>
          <w:lang w:val="en-CA"/>
        </w:rPr>
      </w:pPr>
      <w:r w:rsidRPr="0022319A">
        <w:t>Haraway, D.</w:t>
      </w:r>
      <w:r>
        <w:t>,</w:t>
      </w:r>
      <w:r w:rsidRPr="0022319A">
        <w:t xml:space="preserve"> (1991), </w:t>
      </w:r>
      <w:r w:rsidRPr="00D733C6">
        <w:rPr>
          <w:i/>
        </w:rPr>
        <w:t>Simians, Cyborgs and Women: The Reinvention of Nature</w:t>
      </w:r>
      <w:r w:rsidRPr="0022319A">
        <w:t>, Routledge: New York.</w:t>
      </w:r>
    </w:p>
    <w:p w:rsidR="002D463E" w:rsidRDefault="002D463E" w:rsidP="00F63083">
      <w:pPr>
        <w:pStyle w:val="References"/>
      </w:pPr>
    </w:p>
    <w:p w:rsidR="002D463E" w:rsidRPr="0022319A" w:rsidRDefault="002D463E" w:rsidP="00F63083">
      <w:pPr>
        <w:pStyle w:val="References"/>
        <w:rPr>
          <w:lang w:val="en-CA"/>
        </w:rPr>
      </w:pPr>
      <w:r w:rsidRPr="0022319A">
        <w:t>Haraway, D.</w:t>
      </w:r>
      <w:r>
        <w:t>,</w:t>
      </w:r>
      <w:r w:rsidRPr="0022319A">
        <w:t xml:space="preserve"> (2003), </w:t>
      </w:r>
      <w:r w:rsidRPr="00D733C6">
        <w:rPr>
          <w:i/>
        </w:rPr>
        <w:t>The Companion Species Manifesto: Dogs, People, and Significant Otherness</w:t>
      </w:r>
      <w:r w:rsidRPr="0022319A">
        <w:t>, Prickly Paradigm Press: Chicago.</w:t>
      </w:r>
    </w:p>
    <w:p w:rsidR="002D463E" w:rsidRDefault="002D463E" w:rsidP="00F63083">
      <w:pPr>
        <w:pStyle w:val="References"/>
      </w:pPr>
    </w:p>
    <w:p w:rsidR="002D463E" w:rsidRPr="0022319A" w:rsidRDefault="002D463E" w:rsidP="00F63083">
      <w:pPr>
        <w:pStyle w:val="References"/>
      </w:pPr>
      <w:r w:rsidRPr="0022319A">
        <w:t>Haraway, D.</w:t>
      </w:r>
      <w:r>
        <w:rPr>
          <w:lang w:val="en-US"/>
        </w:rPr>
        <w:t>,</w:t>
      </w:r>
      <w:r w:rsidRPr="0022319A">
        <w:t xml:space="preserve"> (2008), </w:t>
      </w:r>
      <w:r w:rsidRPr="00D733C6">
        <w:rPr>
          <w:i/>
        </w:rPr>
        <w:t>When Species Meet</w:t>
      </w:r>
      <w:r w:rsidRPr="0022319A">
        <w:t>, University of Minnesota Press: Minneapolis.</w:t>
      </w:r>
    </w:p>
    <w:p w:rsidR="002D463E" w:rsidRDefault="002D463E" w:rsidP="00F63083">
      <w:pPr>
        <w:pStyle w:val="References"/>
        <w:rPr>
          <w:lang w:val="en-CA"/>
        </w:rPr>
      </w:pPr>
    </w:p>
    <w:p w:rsidR="002D463E" w:rsidRPr="0022319A" w:rsidRDefault="002D463E" w:rsidP="00F63083">
      <w:pPr>
        <w:pStyle w:val="References"/>
        <w:rPr>
          <w:lang w:val="en-CA"/>
        </w:rPr>
      </w:pPr>
      <w:r w:rsidRPr="0022319A">
        <w:rPr>
          <w:lang w:val="en-CA"/>
        </w:rPr>
        <w:t>Heidegger, M.</w:t>
      </w:r>
      <w:r>
        <w:rPr>
          <w:lang w:val="en-CA"/>
        </w:rPr>
        <w:t>,</w:t>
      </w:r>
      <w:r w:rsidRPr="0022319A">
        <w:rPr>
          <w:lang w:val="en-CA"/>
        </w:rPr>
        <w:t xml:space="preserve"> (1995), </w:t>
      </w:r>
      <w:r w:rsidRPr="00D733C6">
        <w:rPr>
          <w:i/>
          <w:lang w:val="en-CA"/>
        </w:rPr>
        <w:t>The fundamental Concepts of Metaphysics: World, Finitude, Solitude</w:t>
      </w:r>
      <w:r w:rsidRPr="0022319A">
        <w:rPr>
          <w:lang w:val="en-CA"/>
        </w:rPr>
        <w:t>, Indiana University Press: Bloomington.</w:t>
      </w:r>
    </w:p>
    <w:p w:rsidR="002D463E" w:rsidRDefault="002D463E" w:rsidP="00F63083">
      <w:pPr>
        <w:pStyle w:val="References"/>
      </w:pPr>
    </w:p>
    <w:p w:rsidR="002D463E" w:rsidRPr="0022319A" w:rsidRDefault="002D463E" w:rsidP="00F63083">
      <w:pPr>
        <w:pStyle w:val="References"/>
      </w:pPr>
      <w:r w:rsidRPr="0022319A">
        <w:t>Herzogenrath, B.</w:t>
      </w:r>
      <w:r>
        <w:t>,</w:t>
      </w:r>
      <w:r w:rsidRPr="0022319A">
        <w:t xml:space="preserve"> (Ed.), (2008), </w:t>
      </w:r>
      <w:r w:rsidRPr="00D733C6">
        <w:rPr>
          <w:i/>
        </w:rPr>
        <w:t>An [Un]likely Alliance: Thinking Environment[s] with Deleuze/Guattari</w:t>
      </w:r>
      <w:r w:rsidRPr="0022319A">
        <w:t xml:space="preserve">, Cambridge Scholar Publishing: Cambridge. </w:t>
      </w:r>
    </w:p>
    <w:p w:rsidR="002D463E" w:rsidRDefault="002D463E" w:rsidP="00F63083">
      <w:pPr>
        <w:pStyle w:val="References"/>
      </w:pPr>
    </w:p>
    <w:p w:rsidR="002D463E" w:rsidRPr="0022319A" w:rsidRDefault="002D463E" w:rsidP="00F63083">
      <w:pPr>
        <w:pStyle w:val="References"/>
      </w:pPr>
      <w:r w:rsidRPr="0022319A">
        <w:t>Herzogenrath, B.</w:t>
      </w:r>
      <w:r>
        <w:t>,</w:t>
      </w:r>
      <w:r w:rsidRPr="0022319A">
        <w:t xml:space="preserve"> (Ed.), (2009), </w:t>
      </w:r>
      <w:r w:rsidRPr="00D733C6">
        <w:rPr>
          <w:i/>
        </w:rPr>
        <w:t>Deleuze/Guattari &amp; Ecology</w:t>
      </w:r>
      <w:r w:rsidRPr="0022319A">
        <w:t>, Palgrave Macmillan: New York.</w:t>
      </w:r>
    </w:p>
    <w:p w:rsidR="002D463E" w:rsidRDefault="002D463E" w:rsidP="00F63083">
      <w:pPr>
        <w:pStyle w:val="References"/>
      </w:pPr>
    </w:p>
    <w:p w:rsidR="002D463E" w:rsidRPr="0022319A" w:rsidRDefault="002D463E" w:rsidP="00F63083">
      <w:pPr>
        <w:pStyle w:val="References"/>
      </w:pPr>
      <w:r w:rsidRPr="0022319A">
        <w:t>Lacan, J.</w:t>
      </w:r>
      <w:r>
        <w:t>,</w:t>
      </w:r>
      <w:r w:rsidRPr="0022319A">
        <w:t xml:space="preserve"> (2007), </w:t>
      </w:r>
      <w:r w:rsidRPr="0022319A">
        <w:rPr>
          <w:lang w:val="en-CA"/>
        </w:rPr>
        <w:t>“</w:t>
      </w:r>
      <w:r w:rsidRPr="0022319A">
        <w:t>The Mirror Stage as formative of the function of the I as revealed in psychoanalytic experience</w:t>
      </w:r>
      <w:r w:rsidRPr="0022319A">
        <w:rPr>
          <w:lang w:val="en-CA"/>
        </w:rPr>
        <w:t>”</w:t>
      </w:r>
      <w:r w:rsidRPr="0022319A">
        <w:t xml:space="preserve"> and </w:t>
      </w:r>
      <w:r w:rsidRPr="0022319A">
        <w:rPr>
          <w:lang w:val="en-CA"/>
        </w:rPr>
        <w:t>“</w:t>
      </w:r>
      <w:r w:rsidRPr="0022319A">
        <w:t>The Subversion of the Subject and the Dialectic of Desire in the Freudian Unconscious,</w:t>
      </w:r>
      <w:r w:rsidRPr="0022319A">
        <w:rPr>
          <w:lang w:val="en-CA"/>
        </w:rPr>
        <w:t>”</w:t>
      </w:r>
      <w:r w:rsidRPr="0022319A">
        <w:t xml:space="preserve"> in </w:t>
      </w:r>
      <w:r w:rsidRPr="00D733C6">
        <w:rPr>
          <w:i/>
        </w:rPr>
        <w:t>Écrits</w:t>
      </w:r>
      <w:r w:rsidRPr="0022319A">
        <w:t>. The First Complete Edition in English, Norton &amp; Company: New York,</w:t>
      </w:r>
      <w:r>
        <w:t>:</w:t>
      </w:r>
      <w:r w:rsidRPr="0022319A">
        <w:t xml:space="preserve"> 75-81 and 671-702.</w:t>
      </w:r>
    </w:p>
    <w:p w:rsidR="002D463E" w:rsidRDefault="002D463E" w:rsidP="00F63083">
      <w:pPr>
        <w:pStyle w:val="References"/>
      </w:pPr>
    </w:p>
    <w:p w:rsidR="002D463E" w:rsidRPr="0022319A" w:rsidRDefault="002D463E" w:rsidP="00F63083">
      <w:pPr>
        <w:pStyle w:val="References"/>
        <w:rPr>
          <w:lang w:val="en-CA"/>
        </w:rPr>
      </w:pPr>
      <w:r w:rsidRPr="0022319A">
        <w:t>Memon, A.</w:t>
      </w:r>
      <w:r>
        <w:t>,</w:t>
      </w:r>
      <w:r w:rsidRPr="0022319A">
        <w:t xml:space="preserve"> (2006), “Merleau-Ponty, Deleuze, and the Question Singular: What Marks the Difference between Humans and Animals?”, </w:t>
      </w:r>
      <w:r w:rsidRPr="00D733C6">
        <w:rPr>
          <w:i/>
        </w:rPr>
        <w:t>Auslegung: A Journal of Philosophy</w:t>
      </w:r>
      <w:r w:rsidRPr="0022319A">
        <w:t>, Vol. 28, No. 2, pp. 19-35.</w:t>
      </w:r>
    </w:p>
    <w:p w:rsidR="002D463E" w:rsidRDefault="002D463E" w:rsidP="00F63083">
      <w:pPr>
        <w:pStyle w:val="References"/>
        <w:rPr>
          <w:lang w:val="en-CA"/>
        </w:rPr>
      </w:pPr>
    </w:p>
    <w:p w:rsidR="002D463E" w:rsidRPr="0022319A" w:rsidRDefault="002D463E" w:rsidP="00F63083">
      <w:pPr>
        <w:pStyle w:val="References"/>
        <w:rPr>
          <w:lang w:val="en-CA"/>
        </w:rPr>
      </w:pPr>
      <w:r w:rsidRPr="0022319A">
        <w:rPr>
          <w:lang w:val="en-CA"/>
        </w:rPr>
        <w:t>Merleau-Ponty, J.</w:t>
      </w:r>
      <w:r>
        <w:rPr>
          <w:lang w:val="en-CA"/>
        </w:rPr>
        <w:t>,</w:t>
      </w:r>
      <w:r w:rsidRPr="0022319A">
        <w:rPr>
          <w:lang w:val="en-CA"/>
        </w:rPr>
        <w:t xml:space="preserve"> (2003), </w:t>
      </w:r>
      <w:r w:rsidRPr="00D733C6">
        <w:rPr>
          <w:i/>
          <w:lang w:val="en-CA"/>
        </w:rPr>
        <w:t>Nature. Course Notes from the Collège de France</w:t>
      </w:r>
      <w:r w:rsidRPr="0022319A">
        <w:rPr>
          <w:lang w:val="en-CA"/>
        </w:rPr>
        <w:t>, Northwestern University Press: Evanston.</w:t>
      </w:r>
    </w:p>
    <w:p w:rsidR="002D463E" w:rsidRDefault="002D463E" w:rsidP="00F63083">
      <w:pPr>
        <w:pStyle w:val="References"/>
      </w:pPr>
    </w:p>
    <w:p w:rsidR="002D463E" w:rsidRPr="0022319A" w:rsidRDefault="002D463E" w:rsidP="00F63083">
      <w:pPr>
        <w:pStyle w:val="References"/>
      </w:pPr>
      <w:r w:rsidRPr="0022319A">
        <w:t>Neimanis, A.</w:t>
      </w:r>
      <w:r>
        <w:t>,</w:t>
      </w:r>
      <w:r w:rsidRPr="0022319A">
        <w:t xml:space="preserve"> (2007), </w:t>
      </w:r>
      <w:r w:rsidRPr="0022319A">
        <w:rPr>
          <w:lang w:val="en-CA"/>
        </w:rPr>
        <w:t>“</w:t>
      </w:r>
      <w:r w:rsidRPr="0022319A">
        <w:t>Becoming-Grizzly: Bodily Molecularity and the Animal that Becomes</w:t>
      </w:r>
      <w:r w:rsidRPr="0022319A">
        <w:rPr>
          <w:lang w:val="en-CA"/>
        </w:rPr>
        <w:t>”</w:t>
      </w:r>
      <w:r>
        <w:rPr>
          <w:lang w:val="en-CA"/>
        </w:rPr>
        <w:t>,</w:t>
      </w:r>
      <w:r w:rsidRPr="0022319A">
        <w:t xml:space="preserve"> </w:t>
      </w:r>
      <w:r w:rsidRPr="00D733C6">
        <w:rPr>
          <w:i/>
        </w:rPr>
        <w:t>PhaenEx</w:t>
      </w:r>
      <w:r w:rsidRPr="0022319A">
        <w:t xml:space="preserve"> (e-journal), Vol. 2, No. 2, pp. 279-308.</w:t>
      </w:r>
    </w:p>
    <w:p w:rsidR="002D463E" w:rsidRDefault="002D463E" w:rsidP="00F63083">
      <w:pPr>
        <w:pStyle w:val="References"/>
      </w:pPr>
    </w:p>
    <w:p w:rsidR="002D463E" w:rsidRPr="0022319A" w:rsidRDefault="002D463E" w:rsidP="00F63083">
      <w:pPr>
        <w:pStyle w:val="References"/>
      </w:pPr>
      <w:r w:rsidRPr="0022319A">
        <w:t>Nietzsche, F.</w:t>
      </w:r>
      <w:r>
        <w:t>,</w:t>
      </w:r>
      <w:r w:rsidRPr="0022319A">
        <w:t xml:space="preserve"> (1974), </w:t>
      </w:r>
      <w:r w:rsidRPr="00D733C6">
        <w:rPr>
          <w:i/>
        </w:rPr>
        <w:t>The Gay Science</w:t>
      </w:r>
      <w:r w:rsidRPr="0022319A">
        <w:t>, Vintage: New York.</w:t>
      </w:r>
    </w:p>
    <w:p w:rsidR="002D463E" w:rsidRDefault="002D463E" w:rsidP="00F63083">
      <w:pPr>
        <w:pStyle w:val="References"/>
      </w:pPr>
    </w:p>
    <w:p w:rsidR="002D463E" w:rsidRPr="00A0691B" w:rsidRDefault="002D463E" w:rsidP="00F63083">
      <w:pPr>
        <w:pStyle w:val="References"/>
        <w:rPr>
          <w:rStyle w:val="pagetitle"/>
          <w:lang w:val="fr-FR"/>
        </w:rPr>
      </w:pPr>
      <w:r w:rsidRPr="00A0691B">
        <w:rPr>
          <w:lang w:val="fr-FR"/>
        </w:rPr>
        <w:t xml:space="preserve">Sauvagnargues, A., (2004), “Deleuze. De l'animal à l'art”, in François Zourabichvili, Anne Sauvagnargues and Paola Marrati, </w:t>
      </w:r>
      <w:r w:rsidRPr="00A0691B">
        <w:rPr>
          <w:i/>
          <w:lang w:val="fr-FR"/>
        </w:rPr>
        <w:t>La Philosophie de Deleuze</w:t>
      </w:r>
      <w:r w:rsidRPr="00A0691B">
        <w:rPr>
          <w:lang w:val="fr-FR"/>
        </w:rPr>
        <w:t>, Paris: PUF, pp. 117-227.</w:t>
      </w:r>
    </w:p>
    <w:p w:rsidR="002D463E" w:rsidRPr="00A0691B" w:rsidRDefault="002D463E" w:rsidP="00F63083">
      <w:pPr>
        <w:pStyle w:val="References"/>
        <w:rPr>
          <w:rStyle w:val="pagetitle"/>
          <w:lang w:val="fr-FR"/>
        </w:rPr>
      </w:pPr>
    </w:p>
    <w:p w:rsidR="002D463E" w:rsidRPr="0022319A" w:rsidRDefault="002D463E" w:rsidP="00F63083">
      <w:pPr>
        <w:pStyle w:val="References"/>
        <w:rPr>
          <w:rStyle w:val="pagetitle"/>
        </w:rPr>
      </w:pPr>
      <w:r w:rsidRPr="0022319A">
        <w:rPr>
          <w:rStyle w:val="pagetitle"/>
        </w:rPr>
        <w:t>Singer, P.</w:t>
      </w:r>
      <w:r>
        <w:rPr>
          <w:rStyle w:val="pagetitle"/>
        </w:rPr>
        <w:t>,</w:t>
      </w:r>
      <w:r w:rsidRPr="0022319A">
        <w:rPr>
          <w:rStyle w:val="pagetitle"/>
        </w:rPr>
        <w:t xml:space="preserve"> (1975), </w:t>
      </w:r>
      <w:r w:rsidRPr="00D733C6">
        <w:rPr>
          <w:i/>
        </w:rPr>
        <w:t>Animal Liberation. A New Ethics for our Treatment of Animals</w:t>
      </w:r>
      <w:r w:rsidRPr="0022319A">
        <w:t>, Avon Books: New York.</w:t>
      </w:r>
    </w:p>
    <w:p w:rsidR="002D463E" w:rsidRDefault="002D463E" w:rsidP="00F63083">
      <w:pPr>
        <w:pStyle w:val="References"/>
        <w:rPr>
          <w:rStyle w:val="pagetitle"/>
        </w:rPr>
      </w:pPr>
    </w:p>
    <w:p w:rsidR="002D463E" w:rsidRPr="0022319A" w:rsidRDefault="002D463E" w:rsidP="00F63083">
      <w:pPr>
        <w:pStyle w:val="References"/>
        <w:rPr>
          <w:rStyle w:val="pagetitle"/>
        </w:rPr>
      </w:pPr>
      <w:r w:rsidRPr="0022319A">
        <w:rPr>
          <w:rStyle w:val="pagetitle"/>
        </w:rPr>
        <w:t>Spinoza, B.</w:t>
      </w:r>
      <w:r>
        <w:rPr>
          <w:rStyle w:val="pagetitle"/>
        </w:rPr>
        <w:t>,</w:t>
      </w:r>
      <w:r w:rsidRPr="0022319A">
        <w:rPr>
          <w:rStyle w:val="pagetitle"/>
        </w:rPr>
        <w:t xml:space="preserve"> (2007), </w:t>
      </w:r>
      <w:r w:rsidRPr="00D733C6">
        <w:rPr>
          <w:rStyle w:val="pagetitle"/>
          <w:i/>
        </w:rPr>
        <w:t>Ethics</w:t>
      </w:r>
      <w:r w:rsidRPr="0022319A">
        <w:rPr>
          <w:rStyle w:val="pagetitle"/>
        </w:rPr>
        <w:t xml:space="preserve">, </w:t>
      </w:r>
      <w:r w:rsidRPr="0022319A">
        <w:t>Penguin Classics: New York.</w:t>
      </w:r>
    </w:p>
    <w:p w:rsidR="002D463E" w:rsidRDefault="002D463E" w:rsidP="00F63083">
      <w:pPr>
        <w:pStyle w:val="References"/>
        <w:rPr>
          <w:rStyle w:val="pagetitle"/>
        </w:rPr>
      </w:pPr>
    </w:p>
    <w:p w:rsidR="002D463E" w:rsidRPr="0022319A" w:rsidRDefault="002D463E" w:rsidP="00F63083">
      <w:pPr>
        <w:pStyle w:val="References"/>
        <w:rPr>
          <w:rStyle w:val="bodycopy"/>
        </w:rPr>
      </w:pPr>
      <w:r w:rsidRPr="0022319A">
        <w:rPr>
          <w:rStyle w:val="pagetitle"/>
        </w:rPr>
        <w:t>Thompson, N.</w:t>
      </w:r>
      <w:r>
        <w:rPr>
          <w:rStyle w:val="pagetitle"/>
        </w:rPr>
        <w:t>,</w:t>
      </w:r>
      <w:r w:rsidRPr="0022319A">
        <w:rPr>
          <w:rStyle w:val="pagetitle"/>
        </w:rPr>
        <w:t xml:space="preserve"> (Ed.), (2005), </w:t>
      </w:r>
      <w:r w:rsidRPr="00D733C6">
        <w:rPr>
          <w:rStyle w:val="pagetitle"/>
          <w:i/>
        </w:rPr>
        <w:t>Becoming Animal.</w:t>
      </w:r>
      <w:r w:rsidRPr="00D733C6">
        <w:rPr>
          <w:i/>
        </w:rPr>
        <w:t xml:space="preserve"> </w:t>
      </w:r>
      <w:r w:rsidRPr="00D733C6">
        <w:rPr>
          <w:rStyle w:val="bodycopy"/>
          <w:i/>
        </w:rPr>
        <w:t>Contemporary Art in the Animal Kingdom</w:t>
      </w:r>
      <w:r w:rsidRPr="0022319A">
        <w:rPr>
          <w:rStyle w:val="bodycopy"/>
        </w:rPr>
        <w:t>, MIT Press: Cambridge.</w:t>
      </w:r>
    </w:p>
    <w:p w:rsidR="002D463E" w:rsidRDefault="002D463E" w:rsidP="00F63083">
      <w:pPr>
        <w:pStyle w:val="References"/>
        <w:rPr>
          <w:color w:val="000000"/>
        </w:rPr>
      </w:pPr>
    </w:p>
    <w:p w:rsidR="002D463E" w:rsidRPr="0022319A" w:rsidRDefault="002D463E" w:rsidP="00F63083">
      <w:pPr>
        <w:pStyle w:val="References"/>
        <w:rPr>
          <w:rStyle w:val="bodycopy"/>
        </w:rPr>
      </w:pPr>
      <w:r w:rsidRPr="0022319A">
        <w:rPr>
          <w:color w:val="000000"/>
        </w:rPr>
        <w:t>Von Uexküll, J.</w:t>
      </w:r>
      <w:r>
        <w:rPr>
          <w:color w:val="000000"/>
        </w:rPr>
        <w:t>,</w:t>
      </w:r>
      <w:r w:rsidRPr="0022319A">
        <w:rPr>
          <w:color w:val="000000"/>
        </w:rPr>
        <w:t xml:space="preserve"> (1957), </w:t>
      </w:r>
      <w:r w:rsidRPr="0022319A">
        <w:rPr>
          <w:lang w:val="en-CA"/>
        </w:rPr>
        <w:t>“</w:t>
      </w:r>
      <w:r w:rsidRPr="0022319A">
        <w:t>A Stroll Through the Worlds of Animals and Men</w:t>
      </w:r>
      <w:r w:rsidRPr="0022319A">
        <w:rPr>
          <w:lang w:val="en-CA"/>
        </w:rPr>
        <w:t>”</w:t>
      </w:r>
      <w:r>
        <w:rPr>
          <w:lang w:val="en-CA"/>
        </w:rPr>
        <w:t>,</w:t>
      </w:r>
      <w:r w:rsidRPr="0022319A">
        <w:t xml:space="preserve"> in Claire H. Schiller (Ed.), </w:t>
      </w:r>
      <w:r w:rsidRPr="00D733C6">
        <w:rPr>
          <w:i/>
        </w:rPr>
        <w:t>Instinctive Behavior: The Development of a Modern Concept</w:t>
      </w:r>
      <w:r w:rsidRPr="0022319A">
        <w:t>, International Universities Press: New York, pp. 5–80.</w:t>
      </w:r>
    </w:p>
    <w:p w:rsidR="002D463E" w:rsidRDefault="002D463E" w:rsidP="00F63083">
      <w:pPr>
        <w:pStyle w:val="References"/>
      </w:pPr>
    </w:p>
    <w:p w:rsidR="002D463E" w:rsidRDefault="002D463E" w:rsidP="00F63083">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rsidRPr="0022319A">
        <w:t>Williams, L.</w:t>
      </w:r>
      <w:r>
        <w:t>,</w:t>
      </w:r>
      <w:r w:rsidRPr="0022319A">
        <w:t xml:space="preserve"> (2009), “Haraway Contra Deleuze and Guattari. The Question of the Animals”, </w:t>
      </w:r>
      <w:r w:rsidRPr="00D733C6">
        <w:rPr>
          <w:i/>
        </w:rPr>
        <w:t>Communication, Politics &amp; Culture</w:t>
      </w:r>
      <w:r w:rsidRPr="0022319A">
        <w:t>, Vol. 42, No. 1, pp. 42-54.</w:t>
      </w:r>
    </w:p>
    <w:p w:rsidR="002D463E" w:rsidRPr="007B2ED7" w:rsidRDefault="002D463E" w:rsidP="00F63083">
      <w:pPr>
        <w:pStyle w:val="Heading1"/>
      </w:pPr>
      <w:bookmarkStart w:id="81" w:name="_Toc292202633"/>
      <w:r w:rsidRPr="007B2ED7">
        <w:t>Animal, Vegetable, Mineral: Ethics as Extension or Becoming?</w:t>
      </w:r>
      <w:bookmarkEnd w:id="81"/>
      <w:r w:rsidRPr="007B2ED7">
        <w:t xml:space="preserve"> </w:t>
      </w:r>
    </w:p>
    <w:p w:rsidR="002D463E" w:rsidRPr="007B2ED7" w:rsidRDefault="002D463E" w:rsidP="00F63083">
      <w:pPr>
        <w:pStyle w:val="Heading1"/>
      </w:pPr>
      <w:bookmarkStart w:id="82" w:name="_Toc292202634"/>
      <w:r w:rsidRPr="007B2ED7">
        <w:t>The Case of Becoming-Plant</w:t>
      </w:r>
      <w:bookmarkEnd w:id="82"/>
    </w:p>
    <w:p w:rsidR="002D463E" w:rsidRDefault="002D463E" w:rsidP="00F63083"/>
    <w:p w:rsidR="002D463E" w:rsidRPr="00F63083" w:rsidRDefault="002D463E" w:rsidP="00F63083">
      <w:pPr>
        <w:pStyle w:val="Heading1"/>
      </w:pPr>
      <w:bookmarkStart w:id="83" w:name="_Toc292202635"/>
      <w:r w:rsidRPr="00F63083">
        <w:t>Karen L. F. Houle</w:t>
      </w:r>
      <w:r w:rsidRPr="00F63083">
        <w:rPr>
          <w:rStyle w:val="FootnoteReference"/>
          <w:rFonts w:eastAsia="MS Mincho"/>
          <w:b w:val="0"/>
          <w:sz w:val="28"/>
        </w:rPr>
        <w:footnoteReference w:id="23"/>
      </w:r>
      <w:bookmarkEnd w:id="83"/>
    </w:p>
    <w:p w:rsidR="002D463E" w:rsidRPr="00985103" w:rsidRDefault="002D463E" w:rsidP="002D463E">
      <w:pPr>
        <w:pStyle w:val="InsideAddress"/>
        <w:spacing w:line="360" w:lineRule="auto"/>
        <w:rPr>
          <w:rFonts w:ascii="Times New Roman" w:hAnsi="Times New Roman"/>
          <w:b/>
          <w:kern w:val="0"/>
          <w:sz w:val="24"/>
          <w:szCs w:val="24"/>
        </w:rPr>
      </w:pPr>
    </w:p>
    <w:p w:rsidR="002D463E" w:rsidRPr="00985103" w:rsidRDefault="002D463E" w:rsidP="00E35253">
      <w:pPr>
        <w:pStyle w:val="Heading3"/>
      </w:pPr>
      <w:r w:rsidRPr="00985103">
        <w:t>Part One: The Diagnostic: “The First Animal After Humans”</w:t>
      </w:r>
    </w:p>
    <w:p w:rsidR="002D463E" w:rsidRPr="00985103" w:rsidRDefault="002D463E" w:rsidP="002D463E">
      <w:pPr>
        <w:pStyle w:val="InsideAddress"/>
        <w:spacing w:line="360" w:lineRule="auto"/>
        <w:ind w:left="720"/>
        <w:rPr>
          <w:rFonts w:ascii="Times New Roman" w:hAnsi="Times New Roman"/>
          <w:b/>
          <w:i/>
          <w:kern w:val="0"/>
          <w:sz w:val="24"/>
          <w:szCs w:val="24"/>
        </w:rPr>
      </w:pPr>
      <w:r w:rsidRPr="00985103">
        <w:rPr>
          <w:rFonts w:ascii="Times New Roman" w:hAnsi="Times New Roman"/>
          <w:b/>
          <w:i/>
          <w:kern w:val="0"/>
          <w:sz w:val="24"/>
          <w:szCs w:val="24"/>
        </w:rPr>
        <w:t xml:space="preserve"> </w:t>
      </w:r>
    </w:p>
    <w:p w:rsidR="002D463E" w:rsidRDefault="002D463E" w:rsidP="002D463E">
      <w:pPr>
        <w:pStyle w:val="InsideAddress"/>
        <w:spacing w:line="360" w:lineRule="auto"/>
        <w:rPr>
          <w:rFonts w:ascii="Times New Roman" w:hAnsi="Times New Roman"/>
          <w:sz w:val="24"/>
          <w:szCs w:val="24"/>
        </w:rPr>
      </w:pPr>
      <w:r w:rsidRPr="00985103">
        <w:rPr>
          <w:rFonts w:ascii="Times New Roman" w:hAnsi="Times New Roman"/>
          <w:kern w:val="0"/>
          <w:sz w:val="24"/>
          <w:szCs w:val="24"/>
        </w:rPr>
        <w:t xml:space="preserve">Our initial, wide-angle orienting claim is that Western philosophy has been dominated by the question of Being. That the question of Being dominates means the dominance of a particular subset of philosophical answerings. It demands the kinds of answers that tell us </w:t>
      </w:r>
      <w:r w:rsidRPr="00985103">
        <w:rPr>
          <w:rFonts w:ascii="Times New Roman" w:hAnsi="Times New Roman"/>
          <w:i/>
          <w:kern w:val="0"/>
          <w:sz w:val="24"/>
          <w:szCs w:val="24"/>
        </w:rPr>
        <w:t>what things are by nature</w:t>
      </w:r>
      <w:r w:rsidRPr="00985103">
        <w:rPr>
          <w:rFonts w:ascii="Times New Roman" w:hAnsi="Times New Roman"/>
          <w:kern w:val="0"/>
          <w:sz w:val="24"/>
          <w:szCs w:val="24"/>
        </w:rPr>
        <w:t xml:space="preserve"> and </w:t>
      </w:r>
      <w:r w:rsidRPr="00985103">
        <w:rPr>
          <w:rFonts w:ascii="Times New Roman" w:hAnsi="Times New Roman"/>
          <w:i/>
          <w:kern w:val="0"/>
          <w:sz w:val="24"/>
          <w:szCs w:val="24"/>
        </w:rPr>
        <w:t>what things are not</w:t>
      </w:r>
      <w:r w:rsidRPr="00985103">
        <w:rPr>
          <w:rFonts w:ascii="Times New Roman" w:hAnsi="Times New Roman"/>
          <w:kern w:val="0"/>
          <w:sz w:val="24"/>
          <w:szCs w:val="24"/>
        </w:rPr>
        <w:t>, and subsequently how the answers to these two questions can be compared and arrayed in logical, conceptual, temporal and material series: in pairs and relations of resemblance and dissemblance, one to another.</w:t>
      </w:r>
      <w:r w:rsidRPr="00DD568E">
        <w:rPr>
          <w:rFonts w:ascii="Times New Roman" w:hAnsi="Times New Roman"/>
          <w:sz w:val="24"/>
          <w:szCs w:val="24"/>
        </w:rPr>
        <w:t xml:space="preserve"> </w:t>
      </w:r>
      <w:r>
        <w:rPr>
          <w:rFonts w:ascii="Times New Roman" w:hAnsi="Times New Roman"/>
          <w:sz w:val="24"/>
          <w:szCs w:val="24"/>
        </w:rPr>
        <w:t xml:space="preserve">Gilles </w:t>
      </w:r>
      <w:r w:rsidRPr="00DD568E">
        <w:rPr>
          <w:rFonts w:ascii="Times New Roman" w:hAnsi="Times New Roman"/>
          <w:sz w:val="24"/>
          <w:szCs w:val="24"/>
        </w:rPr>
        <w:t xml:space="preserve">Deleuze and </w:t>
      </w:r>
      <w:r>
        <w:rPr>
          <w:rFonts w:ascii="Times New Roman" w:hAnsi="Times New Roman"/>
          <w:sz w:val="24"/>
          <w:szCs w:val="24"/>
        </w:rPr>
        <w:t xml:space="preserve">Félix </w:t>
      </w:r>
      <w:r w:rsidRPr="00DD568E">
        <w:rPr>
          <w:rFonts w:ascii="Times New Roman" w:hAnsi="Times New Roman"/>
          <w:sz w:val="24"/>
          <w:szCs w:val="24"/>
        </w:rPr>
        <w:t>Guattari call this conception of relatio</w:t>
      </w:r>
      <w:r>
        <w:rPr>
          <w:rFonts w:ascii="Times New Roman" w:hAnsi="Times New Roman"/>
          <w:sz w:val="24"/>
          <w:szCs w:val="24"/>
        </w:rPr>
        <w:t>n</w:t>
      </w:r>
      <w:r w:rsidRPr="00DD568E">
        <w:rPr>
          <w:rFonts w:ascii="Times New Roman" w:hAnsi="Times New Roman"/>
          <w:sz w:val="24"/>
          <w:szCs w:val="24"/>
        </w:rPr>
        <w:t xml:space="preserve">ships “analogy of proportion” or “series”: “For natural history conceives of the relationships between two animals in two ways: series and structure. In the case of a series, I say </w:t>
      </w:r>
      <w:r w:rsidRPr="00DD568E">
        <w:rPr>
          <w:rFonts w:ascii="Times New Roman" w:hAnsi="Times New Roman"/>
          <w:i/>
          <w:sz w:val="24"/>
          <w:szCs w:val="24"/>
        </w:rPr>
        <w:t xml:space="preserve">a </w:t>
      </w:r>
      <w:r w:rsidRPr="00DD568E">
        <w:rPr>
          <w:rFonts w:ascii="Times New Roman" w:hAnsi="Times New Roman"/>
          <w:sz w:val="24"/>
          <w:szCs w:val="24"/>
        </w:rPr>
        <w:t xml:space="preserve">resembles </w:t>
      </w:r>
      <w:r w:rsidRPr="00DD568E">
        <w:rPr>
          <w:rFonts w:ascii="Times New Roman" w:hAnsi="Times New Roman"/>
          <w:i/>
          <w:sz w:val="24"/>
          <w:szCs w:val="24"/>
        </w:rPr>
        <w:t xml:space="preserve">b, b </w:t>
      </w:r>
      <w:r w:rsidRPr="00DD568E">
        <w:rPr>
          <w:rFonts w:ascii="Times New Roman" w:hAnsi="Times New Roman"/>
          <w:sz w:val="24"/>
          <w:szCs w:val="24"/>
        </w:rPr>
        <w:t xml:space="preserve">resembles </w:t>
      </w:r>
      <w:r w:rsidRPr="00DD568E">
        <w:rPr>
          <w:rFonts w:ascii="Times New Roman" w:hAnsi="Times New Roman"/>
          <w:i/>
          <w:sz w:val="24"/>
          <w:szCs w:val="24"/>
        </w:rPr>
        <w:t xml:space="preserve">c, </w:t>
      </w:r>
      <w:r w:rsidRPr="00DD568E">
        <w:rPr>
          <w:rFonts w:ascii="Times New Roman" w:hAnsi="Times New Roman"/>
          <w:sz w:val="24"/>
          <w:szCs w:val="24"/>
        </w:rPr>
        <w:t xml:space="preserve">etc.: all of these terms conform in varying degrees to a single, eminent term, perfection or quality as </w:t>
      </w:r>
      <w:r>
        <w:rPr>
          <w:rFonts w:ascii="Times New Roman" w:hAnsi="Times New Roman"/>
          <w:sz w:val="24"/>
          <w:szCs w:val="24"/>
        </w:rPr>
        <w:t>the principle behind the series</w:t>
      </w:r>
      <w:r w:rsidRPr="00DD568E">
        <w:rPr>
          <w:rFonts w:ascii="Times New Roman" w:hAnsi="Times New Roman"/>
          <w:sz w:val="24"/>
          <w:szCs w:val="24"/>
        </w:rPr>
        <w:t>”</w:t>
      </w:r>
      <w:r>
        <w:rPr>
          <w:rFonts w:ascii="Times New Roman" w:hAnsi="Times New Roman"/>
          <w:sz w:val="24"/>
          <w:szCs w:val="24"/>
        </w:rPr>
        <w:t xml:space="preserve"> (1987: 234). </w:t>
      </w:r>
    </w:p>
    <w:p w:rsidR="002D463E"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Mapping these</w:t>
      </w:r>
      <w:r w:rsidRPr="00985103">
        <w:rPr>
          <w:rFonts w:ascii="Times New Roman" w:hAnsi="Times New Roman"/>
          <w:i/>
          <w:kern w:val="0"/>
          <w:sz w:val="24"/>
          <w:szCs w:val="24"/>
        </w:rPr>
        <w:t xml:space="preserve"> </w:t>
      </w:r>
      <w:r w:rsidRPr="00985103">
        <w:rPr>
          <w:rFonts w:ascii="Times New Roman" w:hAnsi="Times New Roman"/>
          <w:kern w:val="0"/>
          <w:sz w:val="24"/>
          <w:szCs w:val="24"/>
        </w:rPr>
        <w:t xml:space="preserve">relations (empirically, conceptually, logically) has become what is known as </w:t>
      </w:r>
      <w:r w:rsidRPr="00985103">
        <w:rPr>
          <w:rFonts w:ascii="Times New Roman" w:hAnsi="Times New Roman"/>
          <w:i/>
          <w:kern w:val="0"/>
          <w:sz w:val="24"/>
          <w:szCs w:val="24"/>
        </w:rPr>
        <w:t>knowing</w:t>
      </w:r>
      <w:r w:rsidRPr="00985103">
        <w:rPr>
          <w:rFonts w:ascii="Times New Roman" w:hAnsi="Times New Roman"/>
          <w:kern w:val="0"/>
          <w:sz w:val="24"/>
          <w:szCs w:val="24"/>
        </w:rPr>
        <w:t xml:space="preserve">. And this version of knowing dominates epistemology. Furthermore a preoccupation with the question of Being entails the dominance of a particular theory of value and selects a subset of normative principles: </w:t>
      </w:r>
      <w:r w:rsidRPr="00985103">
        <w:rPr>
          <w:rFonts w:ascii="Times New Roman" w:hAnsi="Times New Roman"/>
          <w:i/>
          <w:kern w:val="0"/>
          <w:sz w:val="24"/>
          <w:szCs w:val="24"/>
        </w:rPr>
        <w:t>functionality</w:t>
      </w:r>
      <w:r w:rsidRPr="00985103">
        <w:rPr>
          <w:rFonts w:ascii="Times New Roman" w:hAnsi="Times New Roman"/>
          <w:kern w:val="0"/>
          <w:sz w:val="24"/>
          <w:szCs w:val="24"/>
        </w:rPr>
        <w:t xml:space="preserve"> and </w:t>
      </w:r>
      <w:r w:rsidRPr="00985103">
        <w:rPr>
          <w:rFonts w:ascii="Times New Roman" w:hAnsi="Times New Roman"/>
          <w:i/>
          <w:kern w:val="0"/>
          <w:sz w:val="24"/>
          <w:szCs w:val="24"/>
        </w:rPr>
        <w:t>teleology</w:t>
      </w:r>
      <w:r w:rsidRPr="00985103">
        <w:rPr>
          <w:rFonts w:ascii="Times New Roman" w:hAnsi="Times New Roman"/>
          <w:kern w:val="0"/>
          <w:sz w:val="24"/>
          <w:szCs w:val="24"/>
        </w:rPr>
        <w:t xml:space="preserve">. What </w:t>
      </w:r>
      <w:r w:rsidRPr="00985103">
        <w:rPr>
          <w:rFonts w:ascii="Times New Roman" w:hAnsi="Times New Roman"/>
          <w:i/>
          <w:kern w:val="0"/>
          <w:sz w:val="24"/>
          <w:szCs w:val="24"/>
        </w:rPr>
        <w:t>a thing</w:t>
      </w:r>
      <w:r w:rsidRPr="00985103">
        <w:rPr>
          <w:rFonts w:ascii="Times New Roman" w:hAnsi="Times New Roman"/>
          <w:kern w:val="0"/>
          <w:sz w:val="24"/>
          <w:szCs w:val="24"/>
        </w:rPr>
        <w:t xml:space="preserve"> is good for, and whether it achieves the ends for which it was designed, intended or is capable, have become the chief modes </w:t>
      </w:r>
      <w:r w:rsidRPr="00985103">
        <w:rPr>
          <w:rFonts w:ascii="Times New Roman" w:hAnsi="Times New Roman"/>
          <w:i/>
          <w:kern w:val="0"/>
          <w:sz w:val="24"/>
          <w:szCs w:val="24"/>
        </w:rPr>
        <w:t>and</w:t>
      </w:r>
      <w:r w:rsidRPr="00985103">
        <w:rPr>
          <w:rFonts w:ascii="Times New Roman" w:hAnsi="Times New Roman"/>
          <w:kern w:val="0"/>
          <w:sz w:val="24"/>
          <w:szCs w:val="24"/>
        </w:rPr>
        <w:t xml:space="preserve"> sources of value and meaningfulness. The current debate about pain in lower animals is a beautiful example which showcases the dominance and mutual scaffolding of these very framing principles: What </w:t>
      </w:r>
      <w:r w:rsidRPr="00985103">
        <w:rPr>
          <w:rFonts w:ascii="Times New Roman" w:hAnsi="Times New Roman"/>
          <w:i/>
          <w:kern w:val="0"/>
          <w:sz w:val="24"/>
          <w:szCs w:val="24"/>
        </w:rPr>
        <w:t>is</w:t>
      </w:r>
      <w:r w:rsidRPr="00985103">
        <w:rPr>
          <w:rFonts w:ascii="Times New Roman" w:hAnsi="Times New Roman"/>
          <w:kern w:val="0"/>
          <w:sz w:val="24"/>
          <w:szCs w:val="24"/>
        </w:rPr>
        <w:t xml:space="preserve"> a mollusc? Something above a sea cucumber but below a dolphin. How do we know a mollusc feels pain? By inference from our own pain states and pain behaviours + scrupulous empirical evidence. What is wrong with pain anyhow? It stops us, and presumably molluscs, from doing the kinds of things that make our (human, mollusc) lives worthwhile, i.e. working, philosophizing, </w:t>
      </w:r>
      <w:r w:rsidRPr="00A21EA3">
        <w:rPr>
          <w:rFonts w:ascii="Times New Roman" w:hAnsi="Times New Roman"/>
          <w:i/>
          <w:kern w:val="0"/>
          <w:sz w:val="24"/>
          <w:szCs w:val="24"/>
        </w:rPr>
        <w:t>molluscking</w:t>
      </w:r>
      <w:r w:rsidRPr="00985103">
        <w:rPr>
          <w:rFonts w:ascii="Times New Roman" w:hAnsi="Times New Roman"/>
          <w:kern w:val="0"/>
          <w:sz w:val="24"/>
          <w:szCs w:val="24"/>
        </w:rPr>
        <w:t>.</w:t>
      </w:r>
    </w:p>
    <w:p w:rsidR="002D463E" w:rsidRPr="00985103" w:rsidRDefault="002D463E" w:rsidP="002D463E">
      <w:pPr>
        <w:pStyle w:val="InsideAddress"/>
        <w:spacing w:line="360" w:lineRule="auto"/>
        <w:rPr>
          <w:rFonts w:ascii="Times New Roman" w:hAnsi="Times New Roman"/>
          <w:kern w:val="0"/>
          <w:sz w:val="24"/>
          <w:szCs w:val="24"/>
        </w:rPr>
      </w:pPr>
    </w:p>
    <w:p w:rsidR="002D463E" w:rsidRPr="00985103" w:rsidRDefault="002D463E" w:rsidP="00E35253">
      <w:pPr>
        <w:pStyle w:val="Heading3"/>
      </w:pPr>
      <w:r w:rsidRPr="00985103">
        <w:t>A second claim approaches</w:t>
      </w:r>
      <w:r>
        <w:t>,</w:t>
      </w:r>
      <w:r w:rsidRPr="00985103">
        <w:t xml:space="preserve"> </w:t>
      </w:r>
      <w:r>
        <w:t>obliquely</w:t>
      </w:r>
      <w:r w:rsidRPr="00985103">
        <w:t xml:space="preserve">. </w:t>
      </w:r>
    </w:p>
    <w:p w:rsidR="002D463E" w:rsidRPr="00985103"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In the course of the past thirty or so years, an enormous quantity of</w:t>
      </w:r>
      <w:r>
        <w:rPr>
          <w:rFonts w:ascii="Times New Roman" w:hAnsi="Times New Roman"/>
          <w:kern w:val="0"/>
          <w:sz w:val="24"/>
          <w:szCs w:val="24"/>
        </w:rPr>
        <w:t xml:space="preserve"> work in philosophy—especially ethics and philosophy of mind—</w:t>
      </w:r>
      <w:r w:rsidRPr="00985103">
        <w:rPr>
          <w:rFonts w:ascii="Times New Roman" w:hAnsi="Times New Roman"/>
          <w:kern w:val="0"/>
          <w:sz w:val="24"/>
          <w:szCs w:val="24"/>
        </w:rPr>
        <w:t xml:space="preserve">has been devoted to remedying an ostensible lacuna in Western philosophy: the exclusion of the animal. </w:t>
      </w:r>
      <w:r>
        <w:rPr>
          <w:rFonts w:ascii="Times New Roman" w:hAnsi="Times New Roman"/>
          <w:kern w:val="0"/>
          <w:sz w:val="24"/>
          <w:szCs w:val="24"/>
        </w:rPr>
        <w:t xml:space="preserve">While I have certainly participated in that labor, for the purposes of this paper, </w:t>
      </w:r>
      <w:r w:rsidRPr="00985103">
        <w:rPr>
          <w:rFonts w:ascii="Times New Roman" w:hAnsi="Times New Roman"/>
          <w:kern w:val="0"/>
          <w:sz w:val="24"/>
          <w:szCs w:val="24"/>
        </w:rPr>
        <w:t xml:space="preserve">I strenuously resist </w:t>
      </w:r>
      <w:r>
        <w:rPr>
          <w:rFonts w:ascii="Times New Roman" w:hAnsi="Times New Roman"/>
          <w:kern w:val="0"/>
          <w:sz w:val="24"/>
          <w:szCs w:val="24"/>
        </w:rPr>
        <w:t>taking it up again. I do so with an initial</w:t>
      </w:r>
      <w:r w:rsidRPr="00985103">
        <w:rPr>
          <w:rFonts w:ascii="Times New Roman" w:hAnsi="Times New Roman"/>
          <w:kern w:val="0"/>
          <w:sz w:val="24"/>
          <w:szCs w:val="24"/>
        </w:rPr>
        <w:t xml:space="preserve"> three-fold gesture. </w:t>
      </w:r>
    </w:p>
    <w:p w:rsidR="002D463E" w:rsidRPr="00985103" w:rsidRDefault="002D463E" w:rsidP="002D463E">
      <w:pPr>
        <w:pStyle w:val="InsideAddress"/>
        <w:spacing w:line="360" w:lineRule="auto"/>
        <w:rPr>
          <w:rFonts w:ascii="Times New Roman" w:hAnsi="Times New Roman"/>
          <w:kern w:val="0"/>
          <w:sz w:val="24"/>
          <w:szCs w:val="24"/>
        </w:rPr>
      </w:pPr>
    </w:p>
    <w:p w:rsidR="002D463E" w:rsidRDefault="002D463E" w:rsidP="00F63083">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First, thinking-the-animal is not, in fact, missing from but rather</w:t>
      </w:r>
      <w:r w:rsidR="00F63083">
        <w:rPr>
          <w:rFonts w:ascii="Times New Roman" w:hAnsi="Times New Roman"/>
          <w:kern w:val="0"/>
          <w:sz w:val="24"/>
          <w:szCs w:val="24"/>
        </w:rPr>
        <w:t xml:space="preserve"> saturates Western philosophy. </w:t>
      </w:r>
      <w:r w:rsidRPr="00985103">
        <w:rPr>
          <w:rFonts w:ascii="Times New Roman" w:hAnsi="Times New Roman"/>
          <w:kern w:val="0"/>
          <w:sz w:val="24"/>
          <w:szCs w:val="24"/>
        </w:rPr>
        <w:t>The tradition has certainly posited</w:t>
      </w:r>
      <w:r>
        <w:rPr>
          <w:rFonts w:ascii="Times New Roman" w:hAnsi="Times New Roman"/>
          <w:kern w:val="0"/>
          <w:sz w:val="24"/>
          <w:szCs w:val="24"/>
        </w:rPr>
        <w:t>,</w:t>
      </w:r>
      <w:r w:rsidRPr="00985103">
        <w:rPr>
          <w:rFonts w:ascii="Times New Roman" w:hAnsi="Times New Roman"/>
          <w:kern w:val="0"/>
          <w:sz w:val="24"/>
          <w:szCs w:val="24"/>
        </w:rPr>
        <w:t xml:space="preserve"> and inserted</w:t>
      </w:r>
      <w:r>
        <w:rPr>
          <w:rFonts w:ascii="Times New Roman" w:hAnsi="Times New Roman"/>
          <w:kern w:val="0"/>
          <w:sz w:val="24"/>
          <w:szCs w:val="24"/>
        </w:rPr>
        <w:t>, an abyssal difference</w:t>
      </w:r>
      <w:r w:rsidRPr="00985103">
        <w:rPr>
          <w:rFonts w:ascii="Times New Roman" w:hAnsi="Times New Roman"/>
          <w:kern w:val="0"/>
          <w:sz w:val="24"/>
          <w:szCs w:val="24"/>
        </w:rPr>
        <w:t xml:space="preserve"> </w:t>
      </w:r>
      <w:r>
        <w:rPr>
          <w:rFonts w:ascii="Times New Roman" w:hAnsi="Times New Roman"/>
          <w:kern w:val="0"/>
          <w:sz w:val="24"/>
          <w:szCs w:val="24"/>
        </w:rPr>
        <w:t xml:space="preserve">(Bataille, 1992) </w:t>
      </w:r>
      <w:r w:rsidRPr="00985103">
        <w:rPr>
          <w:rFonts w:ascii="Times New Roman" w:hAnsi="Times New Roman"/>
          <w:kern w:val="0"/>
          <w:sz w:val="24"/>
          <w:szCs w:val="24"/>
        </w:rPr>
        <w:t xml:space="preserve">between the human and the animal. One need only recall the polemical Cartesian claim </w:t>
      </w:r>
      <w:r>
        <w:rPr>
          <w:rFonts w:ascii="Times New Roman" w:hAnsi="Times New Roman"/>
          <w:kern w:val="0"/>
          <w:sz w:val="24"/>
          <w:szCs w:val="24"/>
        </w:rPr>
        <w:t xml:space="preserve">in </w:t>
      </w:r>
      <w:r w:rsidRPr="00711441">
        <w:rPr>
          <w:rFonts w:ascii="Times New Roman" w:hAnsi="Times New Roman"/>
          <w:i/>
          <w:kern w:val="0"/>
          <w:sz w:val="24"/>
          <w:szCs w:val="24"/>
        </w:rPr>
        <w:t>Discourse on Method</w:t>
      </w:r>
      <w:r>
        <w:rPr>
          <w:rFonts w:ascii="Times New Roman" w:hAnsi="Times New Roman"/>
          <w:kern w:val="0"/>
          <w:sz w:val="24"/>
          <w:szCs w:val="24"/>
        </w:rPr>
        <w:t xml:space="preserve"> </w:t>
      </w:r>
      <w:r w:rsidRPr="00985103">
        <w:rPr>
          <w:rFonts w:ascii="Times New Roman" w:hAnsi="Times New Roman"/>
          <w:kern w:val="0"/>
          <w:sz w:val="24"/>
          <w:szCs w:val="24"/>
        </w:rPr>
        <w:t>that animals are mere clocks. But, what is much more inte</w:t>
      </w:r>
      <w:r>
        <w:rPr>
          <w:rFonts w:ascii="Times New Roman" w:hAnsi="Times New Roman"/>
          <w:kern w:val="0"/>
          <w:sz w:val="24"/>
          <w:szCs w:val="24"/>
        </w:rPr>
        <w:t xml:space="preserve">resting and subtle to notice is </w:t>
      </w:r>
      <w:r w:rsidRPr="00985103">
        <w:rPr>
          <w:rFonts w:ascii="Times New Roman" w:hAnsi="Times New Roman"/>
          <w:kern w:val="0"/>
          <w:sz w:val="24"/>
          <w:szCs w:val="24"/>
        </w:rPr>
        <w:t>that</w:t>
      </w:r>
      <w:r>
        <w:rPr>
          <w:rFonts w:ascii="Times New Roman" w:hAnsi="Times New Roman"/>
          <w:kern w:val="0"/>
          <w:sz w:val="24"/>
          <w:szCs w:val="24"/>
        </w:rPr>
        <w:t xml:space="preserve"> the</w:t>
      </w:r>
      <w:r w:rsidRPr="00985103">
        <w:rPr>
          <w:rFonts w:ascii="Times New Roman" w:hAnsi="Times New Roman"/>
          <w:kern w:val="0"/>
          <w:sz w:val="24"/>
          <w:szCs w:val="24"/>
        </w:rPr>
        <w:t xml:space="preserve"> same tradition has created and sustained for animality </w:t>
      </w:r>
      <w:r w:rsidRPr="00985103">
        <w:rPr>
          <w:rFonts w:ascii="Times New Roman" w:hAnsi="Times New Roman"/>
          <w:sz w:val="24"/>
          <w:szCs w:val="24"/>
        </w:rPr>
        <w:t xml:space="preserve">a unique proximity to the human which is especially </w:t>
      </w:r>
      <w:r w:rsidRPr="00985103">
        <w:rPr>
          <w:rFonts w:ascii="Times New Roman" w:hAnsi="Times New Roman"/>
          <w:i/>
          <w:sz w:val="24"/>
          <w:szCs w:val="24"/>
        </w:rPr>
        <w:t>non-abyssal</w:t>
      </w:r>
      <w:r w:rsidRPr="00985103">
        <w:rPr>
          <w:rFonts w:ascii="Times New Roman" w:hAnsi="Times New Roman"/>
          <w:sz w:val="24"/>
          <w:szCs w:val="24"/>
        </w:rPr>
        <w:t>.  Fr</w:t>
      </w:r>
      <w:r w:rsidRPr="00985103">
        <w:rPr>
          <w:rFonts w:ascii="Times New Roman" w:hAnsi="Times New Roman"/>
          <w:kern w:val="0"/>
          <w:sz w:val="24"/>
          <w:szCs w:val="24"/>
        </w:rPr>
        <w:t xml:space="preserve">om antiquity through to the present, the concept of “the animal” has played the lead and proximate role for marking, conceptually, what differentiates “the human” being from every other being. </w:t>
      </w:r>
      <w:r>
        <w:rPr>
          <w:rFonts w:ascii="Times New Roman" w:hAnsi="Times New Roman"/>
          <w:kern w:val="0"/>
          <w:sz w:val="24"/>
          <w:szCs w:val="24"/>
        </w:rPr>
        <w:t xml:space="preserve">Consider this common refrain: </w:t>
      </w:r>
    </w:p>
    <w:p w:rsidR="002D463E" w:rsidRDefault="002D463E" w:rsidP="00A30E4F">
      <w:pPr>
        <w:pStyle w:val="InsideAddress"/>
        <w:spacing w:line="360" w:lineRule="auto"/>
        <w:ind w:left="720"/>
        <w:rPr>
          <w:rFonts w:ascii="Times New Roman" w:hAnsi="Times New Roman"/>
          <w:kern w:val="0"/>
          <w:sz w:val="24"/>
          <w:szCs w:val="24"/>
        </w:rPr>
      </w:pPr>
      <w:r w:rsidRPr="00985103">
        <w:rPr>
          <w:rFonts w:ascii="Times New Roman" w:hAnsi="Times New Roman"/>
          <w:kern w:val="0"/>
          <w:sz w:val="24"/>
          <w:szCs w:val="24"/>
        </w:rPr>
        <w:t>Dolphins have been declared the world’s second most intelligent creatures after humans, with scientists suggesting they are so bright that they should be treated as ‘non-human persons.’ Studies into dolphin behaviour have highlighted how similar their communications are to those of humans and that they are brighter than chimpanzees</w:t>
      </w:r>
      <w:r>
        <w:rPr>
          <w:rFonts w:ascii="Times New Roman" w:hAnsi="Times New Roman"/>
          <w:kern w:val="0"/>
          <w:sz w:val="24"/>
          <w:szCs w:val="24"/>
        </w:rPr>
        <w:t xml:space="preserve"> (Leake, 2010).  </w:t>
      </w:r>
    </w:p>
    <w:p w:rsidR="002D463E" w:rsidRDefault="002D463E" w:rsidP="002D463E">
      <w:pPr>
        <w:pStyle w:val="InsideAddress"/>
        <w:spacing w:line="240" w:lineRule="auto"/>
        <w:ind w:left="720"/>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“The animal” has been perennially conceived and deployed in philosophy as</w:t>
      </w:r>
      <w:r>
        <w:rPr>
          <w:rFonts w:ascii="Times New Roman" w:hAnsi="Times New Roman"/>
          <w:kern w:val="0"/>
          <w:sz w:val="24"/>
          <w:szCs w:val="24"/>
        </w:rPr>
        <w:t xml:space="preserve"> what-we-are-not: </w:t>
      </w:r>
      <w:r>
        <w:rPr>
          <w:rFonts w:ascii="Times New Roman" w:hAnsi="Times New Roman"/>
          <w:i/>
          <w:kern w:val="0"/>
          <w:sz w:val="24"/>
          <w:szCs w:val="24"/>
        </w:rPr>
        <w:t xml:space="preserve">the </w:t>
      </w:r>
      <w:r>
        <w:rPr>
          <w:rFonts w:ascii="Times New Roman" w:hAnsi="Times New Roman"/>
          <w:kern w:val="0"/>
          <w:sz w:val="24"/>
          <w:szCs w:val="24"/>
        </w:rPr>
        <w:t>non-human.</w:t>
      </w:r>
      <w:r w:rsidRPr="00985103">
        <w:rPr>
          <w:rFonts w:ascii="Times New Roman" w:hAnsi="Times New Roman"/>
          <w:kern w:val="0"/>
          <w:sz w:val="24"/>
          <w:szCs w:val="24"/>
        </w:rPr>
        <w:t xml:space="preserve"> Efforts to conceive or to know or to express the animal through, or adjacent to the human, or, to conceive or know or express the human through,</w:t>
      </w:r>
      <w:r>
        <w:rPr>
          <w:rFonts w:ascii="Times New Roman" w:hAnsi="Times New Roman"/>
          <w:kern w:val="0"/>
          <w:sz w:val="24"/>
          <w:szCs w:val="24"/>
        </w:rPr>
        <w:t xml:space="preserve"> or right next to the animal—</w:t>
      </w:r>
      <w:r w:rsidRPr="00985103">
        <w:rPr>
          <w:rFonts w:ascii="Times New Roman" w:hAnsi="Times New Roman"/>
          <w:kern w:val="0"/>
          <w:sz w:val="24"/>
          <w:szCs w:val="24"/>
        </w:rPr>
        <w:t>through the genius of analogy, resemblance and of teleology, through form and func</w:t>
      </w:r>
      <w:r>
        <w:rPr>
          <w:rFonts w:ascii="Times New Roman" w:hAnsi="Times New Roman"/>
          <w:kern w:val="0"/>
          <w:sz w:val="24"/>
          <w:szCs w:val="24"/>
        </w:rPr>
        <w:t>tion—</w:t>
      </w:r>
      <w:r w:rsidRPr="00985103">
        <w:rPr>
          <w:rFonts w:ascii="Times New Roman" w:hAnsi="Times New Roman"/>
          <w:kern w:val="0"/>
          <w:sz w:val="24"/>
          <w:szCs w:val="24"/>
        </w:rPr>
        <w:t xml:space="preserve">has produced a very stable, hierarchical scaffolding with </w:t>
      </w:r>
      <w:r w:rsidRPr="00985103">
        <w:rPr>
          <w:rFonts w:ascii="Times New Roman" w:hAnsi="Times New Roman"/>
          <w:i/>
          <w:kern w:val="0"/>
          <w:sz w:val="24"/>
          <w:szCs w:val="24"/>
        </w:rPr>
        <w:t>the animal</w:t>
      </w:r>
      <w:r>
        <w:rPr>
          <w:rFonts w:ascii="Times New Roman" w:hAnsi="Times New Roman"/>
          <w:kern w:val="0"/>
          <w:sz w:val="24"/>
          <w:szCs w:val="24"/>
        </w:rPr>
        <w:t>—l</w:t>
      </w:r>
      <w:r w:rsidRPr="00985103">
        <w:rPr>
          <w:rFonts w:ascii="Times New Roman" w:hAnsi="Times New Roman"/>
          <w:kern w:val="0"/>
          <w:sz w:val="24"/>
          <w:szCs w:val="24"/>
        </w:rPr>
        <w:t>i</w:t>
      </w:r>
      <w:r>
        <w:rPr>
          <w:rFonts w:ascii="Times New Roman" w:hAnsi="Times New Roman"/>
          <w:kern w:val="0"/>
          <w:sz w:val="24"/>
          <w:szCs w:val="24"/>
        </w:rPr>
        <w:t>ke the ontological family pet—</w:t>
      </w:r>
      <w:r w:rsidRPr="00985103">
        <w:rPr>
          <w:rFonts w:ascii="Times New Roman" w:hAnsi="Times New Roman"/>
          <w:kern w:val="0"/>
          <w:sz w:val="24"/>
          <w:szCs w:val="24"/>
        </w:rPr>
        <w:t>always there, right beside us, if a little lower. This is because Being and Animality are inseparable.</w:t>
      </w:r>
    </w:p>
    <w:p w:rsidR="002D463E" w:rsidRPr="00985103"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Perhaps </w:t>
      </w:r>
      <w:r w:rsidRPr="00985103">
        <w:rPr>
          <w:rFonts w:ascii="Times New Roman" w:hAnsi="Times New Roman"/>
          <w:kern w:val="0"/>
          <w:sz w:val="24"/>
          <w:szCs w:val="24"/>
        </w:rPr>
        <w:t xml:space="preserve">this on-going privileged placement </w:t>
      </w:r>
      <w:r>
        <w:rPr>
          <w:rFonts w:ascii="Times New Roman" w:hAnsi="Times New Roman"/>
          <w:kern w:val="0"/>
          <w:sz w:val="24"/>
          <w:szCs w:val="24"/>
        </w:rPr>
        <w:t xml:space="preserve">has </w:t>
      </w:r>
      <w:r w:rsidRPr="00985103">
        <w:rPr>
          <w:rFonts w:ascii="Times New Roman" w:hAnsi="Times New Roman"/>
          <w:kern w:val="0"/>
          <w:sz w:val="24"/>
          <w:szCs w:val="24"/>
        </w:rPr>
        <w:t xml:space="preserve">been “good for animals”? In general, no. Not when one squares up to the facts of loss of habitat and species, of industrial meat or zoos and the lives of billions of lab animals. Sometimes an extraordinary member of a type gets noticed and receives a better life and some notoriety: Lassie or </w:t>
      </w:r>
      <w:smartTag w:uri="urn:schemas-microsoft-com:office:smarttags" w:element="place">
        <w:r w:rsidRPr="00985103">
          <w:rPr>
            <w:rFonts w:ascii="Times New Roman" w:hAnsi="Times New Roman"/>
            <w:kern w:val="0"/>
            <w:sz w:val="24"/>
            <w:szCs w:val="24"/>
          </w:rPr>
          <w:t>Kisi</w:t>
        </w:r>
      </w:smartTag>
      <w:r w:rsidRPr="00985103">
        <w:rPr>
          <w:rFonts w:ascii="Times New Roman" w:hAnsi="Times New Roman"/>
          <w:kern w:val="0"/>
          <w:sz w:val="24"/>
          <w:szCs w:val="24"/>
        </w:rPr>
        <w:t xml:space="preserve"> the grey parrot or Kanzi the Bonobo. But even here, the best these exemplars can do is place a strong second to us</w:t>
      </w:r>
      <w:r>
        <w:rPr>
          <w:rFonts w:ascii="Times New Roman" w:hAnsi="Times New Roman"/>
          <w:kern w:val="0"/>
          <w:sz w:val="24"/>
          <w:szCs w:val="24"/>
        </w:rPr>
        <w:t>, as they also tend to do in “lifeboat ethics” scenarios favoured among moral philosophers</w:t>
      </w:r>
      <w:r w:rsidRPr="00985103">
        <w:rPr>
          <w:rFonts w:ascii="Times New Roman" w:hAnsi="Times New Roman"/>
          <w:kern w:val="0"/>
          <w:sz w:val="24"/>
          <w:szCs w:val="24"/>
        </w:rPr>
        <w:t xml:space="preserve">.  </w:t>
      </w:r>
      <w:r>
        <w:rPr>
          <w:rFonts w:ascii="Times New Roman" w:hAnsi="Times New Roman"/>
          <w:kern w:val="0"/>
          <w:sz w:val="24"/>
          <w:szCs w:val="24"/>
        </w:rPr>
        <w:t xml:space="preserve">Even among some of the heroes of animal moral standing for animals we find this ranking happening. For instance, after a long and careful working out of the equal inherent value of all subjects-of-a-life, and the equal </w:t>
      </w:r>
      <w:r w:rsidRPr="00285629">
        <w:rPr>
          <w:rFonts w:ascii="Times New Roman" w:hAnsi="Times New Roman"/>
          <w:i/>
          <w:kern w:val="0"/>
          <w:sz w:val="24"/>
          <w:szCs w:val="24"/>
        </w:rPr>
        <w:t>prima facie</w:t>
      </w:r>
      <w:r>
        <w:rPr>
          <w:rFonts w:ascii="Times New Roman" w:hAnsi="Times New Roman"/>
          <w:kern w:val="0"/>
          <w:sz w:val="24"/>
          <w:szCs w:val="24"/>
        </w:rPr>
        <w:t xml:space="preserve"> right of animals not to be harmed, </w:t>
      </w:r>
      <w:r w:rsidRPr="00985103">
        <w:rPr>
          <w:rFonts w:ascii="Times New Roman" w:hAnsi="Times New Roman"/>
          <w:kern w:val="0"/>
          <w:sz w:val="24"/>
          <w:szCs w:val="24"/>
        </w:rPr>
        <w:t>Tom Regan</w:t>
      </w:r>
      <w:r>
        <w:rPr>
          <w:rFonts w:ascii="Times New Roman" w:hAnsi="Times New Roman"/>
          <w:kern w:val="0"/>
          <w:sz w:val="24"/>
          <w:szCs w:val="24"/>
        </w:rPr>
        <w:t xml:space="preserve"> states rather baldly, “Death for the dog, in short, though a harm, is not comparable to the harm that death would be for </w:t>
      </w:r>
      <w:r w:rsidRPr="000B336C">
        <w:rPr>
          <w:rFonts w:ascii="Times New Roman" w:hAnsi="Times New Roman"/>
          <w:i/>
          <w:kern w:val="0"/>
          <w:sz w:val="24"/>
          <w:szCs w:val="24"/>
        </w:rPr>
        <w:t>any</w:t>
      </w:r>
      <w:r>
        <w:rPr>
          <w:rFonts w:ascii="Times New Roman" w:hAnsi="Times New Roman"/>
          <w:kern w:val="0"/>
          <w:sz w:val="24"/>
          <w:szCs w:val="24"/>
        </w:rPr>
        <w:t xml:space="preserve"> of the humans” (Regan 1983: 324, added emphasis).  He declares that this outcome is not in conflict with the principles he has worked hard to ground, and then goes on to do a fancy bit of utilitarian shell-gaming to make that ranking stick. </w:t>
      </w:r>
      <w:r w:rsidRPr="00985103">
        <w:rPr>
          <w:rFonts w:ascii="Times New Roman" w:hAnsi="Times New Roman"/>
          <w:kern w:val="0"/>
          <w:sz w:val="24"/>
          <w:szCs w:val="24"/>
        </w:rPr>
        <w:t>Peter Singer</w:t>
      </w:r>
      <w:r>
        <w:rPr>
          <w:rFonts w:ascii="Times New Roman" w:hAnsi="Times New Roman"/>
          <w:kern w:val="0"/>
          <w:sz w:val="24"/>
          <w:szCs w:val="24"/>
        </w:rPr>
        <w:t xml:space="preserve"> practically guffaws at the attempt to level the moral playing field beyond subjects-of-consciousness, declaring outright: “…and we can pass silently by [Paul] Taylor’s even more extraordinary claim, that we should be ready not merely to respect every living thing, but that we should place the same value on the life of every living thing as we place on our own” (2002: 319). In making this gesture, I am hoping that what catches our attention for a change is not the strength or weakness of these arguments but the propensity of our “animal heroes” to deploy them. And, the fact</w:t>
      </w:r>
      <w:r w:rsidR="00B53A5D">
        <w:rPr>
          <w:rFonts w:ascii="Times New Roman" w:hAnsi="Times New Roman"/>
          <w:kern w:val="0"/>
          <w:sz w:val="24"/>
          <w:szCs w:val="24"/>
        </w:rPr>
        <w:t xml:space="preserve"> </w:t>
      </w:r>
      <w:r>
        <w:rPr>
          <w:rFonts w:ascii="Times New Roman" w:hAnsi="Times New Roman"/>
          <w:kern w:val="0"/>
          <w:sz w:val="24"/>
          <w:szCs w:val="24"/>
        </w:rPr>
        <w:t>that humans come out on top even among those claiming the least degree of comfort with that very outcome and publically committed to changing it.</w:t>
      </w:r>
      <w:r>
        <w:rPr>
          <w:rStyle w:val="FootnoteReference"/>
          <w:rFonts w:eastAsia="MS Mincho"/>
          <w:kern w:val="0"/>
          <w:szCs w:val="24"/>
        </w:rPr>
        <w:footnoteReference w:id="24"/>
      </w:r>
      <w:r>
        <w:rPr>
          <w:rFonts w:ascii="Times New Roman" w:hAnsi="Times New Roman"/>
          <w:kern w:val="0"/>
          <w:sz w:val="24"/>
          <w:szCs w:val="24"/>
        </w:rPr>
        <w:t xml:space="preserve"> </w:t>
      </w:r>
    </w:p>
    <w:p w:rsidR="002D463E" w:rsidRPr="00985103"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Has this thought scaffolding been “good for other forms of life</w:t>
      </w:r>
      <w:r>
        <w:rPr>
          <w:rFonts w:ascii="Times New Roman" w:hAnsi="Times New Roman"/>
          <w:kern w:val="0"/>
          <w:sz w:val="24"/>
          <w:szCs w:val="24"/>
        </w:rPr>
        <w:t>,”</w:t>
      </w:r>
      <w:r w:rsidRPr="00985103">
        <w:rPr>
          <w:rFonts w:ascii="Times New Roman" w:hAnsi="Times New Roman"/>
          <w:kern w:val="0"/>
          <w:sz w:val="24"/>
          <w:szCs w:val="24"/>
        </w:rPr>
        <w:t xml:space="preserve"> or could it be, if we keep trying to extend </w:t>
      </w:r>
      <w:r>
        <w:rPr>
          <w:rFonts w:ascii="Times New Roman" w:hAnsi="Times New Roman"/>
          <w:kern w:val="0"/>
          <w:sz w:val="24"/>
          <w:szCs w:val="24"/>
        </w:rPr>
        <w:t xml:space="preserve">ethics </w:t>
      </w:r>
      <w:r w:rsidRPr="00985103">
        <w:rPr>
          <w:rFonts w:ascii="Times New Roman" w:hAnsi="Times New Roman"/>
          <w:kern w:val="0"/>
          <w:sz w:val="24"/>
          <w:szCs w:val="24"/>
        </w:rPr>
        <w:t>in the direction of, say, invertebrates and</w:t>
      </w:r>
      <w:r>
        <w:rPr>
          <w:rFonts w:ascii="Times New Roman" w:hAnsi="Times New Roman"/>
          <w:kern w:val="0"/>
          <w:sz w:val="24"/>
          <w:szCs w:val="24"/>
        </w:rPr>
        <w:t xml:space="preserve"> green things,</w:t>
      </w:r>
      <w:r w:rsidRPr="00985103">
        <w:rPr>
          <w:rFonts w:ascii="Times New Roman" w:hAnsi="Times New Roman"/>
          <w:kern w:val="0"/>
          <w:sz w:val="24"/>
          <w:szCs w:val="24"/>
        </w:rPr>
        <w:t xml:space="preserve"> i.e. plants</w:t>
      </w:r>
      <w:r>
        <w:rPr>
          <w:rFonts w:ascii="Times New Roman" w:hAnsi="Times New Roman"/>
          <w:kern w:val="0"/>
          <w:sz w:val="24"/>
          <w:szCs w:val="24"/>
        </w:rPr>
        <w:t>? No. Plants—</w:t>
      </w:r>
      <w:r w:rsidRPr="00985103">
        <w:rPr>
          <w:rFonts w:ascii="Times New Roman" w:hAnsi="Times New Roman"/>
          <w:kern w:val="0"/>
          <w:sz w:val="24"/>
          <w:szCs w:val="24"/>
        </w:rPr>
        <w:t>just like the</w:t>
      </w:r>
      <w:r>
        <w:rPr>
          <w:rFonts w:ascii="Times New Roman" w:hAnsi="Times New Roman"/>
          <w:kern w:val="0"/>
          <w:sz w:val="24"/>
          <w:szCs w:val="24"/>
        </w:rPr>
        <w:t xml:space="preserve"> notion of “the environment”—</w:t>
      </w:r>
      <w:r w:rsidRPr="00985103">
        <w:rPr>
          <w:rFonts w:ascii="Times New Roman" w:hAnsi="Times New Roman"/>
          <w:kern w:val="0"/>
          <w:sz w:val="24"/>
          <w:szCs w:val="24"/>
        </w:rPr>
        <w:t>have certainly been relegate</w:t>
      </w:r>
      <w:r>
        <w:rPr>
          <w:rFonts w:ascii="Times New Roman" w:hAnsi="Times New Roman"/>
          <w:kern w:val="0"/>
          <w:sz w:val="24"/>
          <w:szCs w:val="24"/>
        </w:rPr>
        <w:t>d to vague background roles or “milieu.”</w:t>
      </w:r>
      <w:r w:rsidRPr="00985103">
        <w:rPr>
          <w:rFonts w:ascii="Times New Roman" w:hAnsi="Times New Roman"/>
          <w:kern w:val="0"/>
          <w:sz w:val="24"/>
          <w:szCs w:val="24"/>
        </w:rPr>
        <w:t xml:space="preserve"> Except for Aristotle, they have rarely appeared in </w:t>
      </w:r>
      <w:r>
        <w:rPr>
          <w:rFonts w:ascii="Times New Roman" w:hAnsi="Times New Roman"/>
          <w:kern w:val="0"/>
          <w:sz w:val="24"/>
          <w:szCs w:val="24"/>
        </w:rPr>
        <w:t>three millennia</w:t>
      </w:r>
      <w:r w:rsidRPr="00985103">
        <w:rPr>
          <w:rFonts w:ascii="Times New Roman" w:hAnsi="Times New Roman"/>
          <w:kern w:val="0"/>
          <w:sz w:val="24"/>
          <w:szCs w:val="24"/>
        </w:rPr>
        <w:t xml:space="preserve"> of thinking and writing Philosophy. We live out that gesture of our minds, in our imaginaries, in our everyday set-ups. Just think about your typical natural history museum visit: The</w:t>
      </w:r>
      <w:r>
        <w:rPr>
          <w:rFonts w:ascii="Times New Roman" w:hAnsi="Times New Roman"/>
          <w:kern w:val="0"/>
          <w:sz w:val="24"/>
          <w:szCs w:val="24"/>
        </w:rPr>
        <w:t xml:space="preserve"> </w:t>
      </w:r>
      <w:r w:rsidRPr="00985103">
        <w:rPr>
          <w:rFonts w:ascii="Times New Roman" w:hAnsi="Times New Roman"/>
          <w:kern w:val="0"/>
          <w:sz w:val="24"/>
          <w:szCs w:val="24"/>
        </w:rPr>
        <w:t xml:space="preserve">giant </w:t>
      </w:r>
      <w:r w:rsidRPr="00985103">
        <w:rPr>
          <w:rFonts w:ascii="Times New Roman" w:hAnsi="Times New Roman"/>
          <w:i/>
          <w:kern w:val="0"/>
          <w:sz w:val="24"/>
          <w:szCs w:val="24"/>
        </w:rPr>
        <w:t>Equisetum spp</w:t>
      </w:r>
      <w:r w:rsidRPr="00985103">
        <w:rPr>
          <w:rFonts w:ascii="Times New Roman" w:hAnsi="Times New Roman"/>
          <w:kern w:val="0"/>
          <w:sz w:val="24"/>
          <w:szCs w:val="24"/>
        </w:rPr>
        <w:t xml:space="preserve">. </w:t>
      </w:r>
      <w:r>
        <w:rPr>
          <w:rFonts w:ascii="Times New Roman" w:hAnsi="Times New Roman"/>
          <w:kern w:val="0"/>
          <w:sz w:val="24"/>
          <w:szCs w:val="24"/>
        </w:rPr>
        <w:t>(</w:t>
      </w:r>
      <w:r w:rsidRPr="004C48A1">
        <w:rPr>
          <w:rFonts w:ascii="Times New Roman" w:hAnsi="Times New Roman"/>
          <w:i/>
          <w:kern w:val="0"/>
          <w:sz w:val="24"/>
          <w:szCs w:val="24"/>
        </w:rPr>
        <w:t>aka</w:t>
      </w:r>
      <w:r>
        <w:rPr>
          <w:rFonts w:ascii="Times New Roman" w:hAnsi="Times New Roman"/>
          <w:kern w:val="0"/>
          <w:sz w:val="24"/>
          <w:szCs w:val="24"/>
        </w:rPr>
        <w:t xml:space="preserve"> horsetail,</w:t>
      </w:r>
      <w:r w:rsidRPr="002B236D">
        <w:rPr>
          <w:rFonts w:ascii="Times New Roman" w:hAnsi="Times New Roman"/>
          <w:kern w:val="0"/>
          <w:sz w:val="24"/>
          <w:szCs w:val="24"/>
        </w:rPr>
        <w:t xml:space="preserve"> snakegrass</w:t>
      </w:r>
      <w:r>
        <w:rPr>
          <w:rFonts w:ascii="Times New Roman" w:hAnsi="Times New Roman"/>
          <w:kern w:val="0"/>
          <w:sz w:val="24"/>
          <w:szCs w:val="24"/>
        </w:rPr>
        <w:t>), the lush ferns and</w:t>
      </w:r>
      <w:r w:rsidRPr="00985103">
        <w:rPr>
          <w:rFonts w:ascii="Times New Roman" w:hAnsi="Times New Roman"/>
          <w:kern w:val="0"/>
          <w:sz w:val="24"/>
          <w:szCs w:val="24"/>
        </w:rPr>
        <w:t xml:space="preserve"> the freaky angiosperms are the </w:t>
      </w:r>
      <w:r>
        <w:rPr>
          <w:rFonts w:ascii="Times New Roman" w:hAnsi="Times New Roman"/>
          <w:kern w:val="0"/>
          <w:sz w:val="24"/>
          <w:szCs w:val="24"/>
        </w:rPr>
        <w:t>hundred m</w:t>
      </w:r>
      <w:r w:rsidRPr="00985103">
        <w:rPr>
          <w:rFonts w:ascii="Times New Roman" w:hAnsi="Times New Roman"/>
          <w:kern w:val="0"/>
          <w:sz w:val="24"/>
          <w:szCs w:val="24"/>
        </w:rPr>
        <w:t>illion year-old leafy props against which the drama of the dinosaurs and Stone-Age man, and then the Wool</w:t>
      </w:r>
      <w:r>
        <w:rPr>
          <w:rFonts w:ascii="Times New Roman" w:hAnsi="Times New Roman"/>
          <w:kern w:val="0"/>
          <w:sz w:val="24"/>
          <w:szCs w:val="24"/>
        </w:rPr>
        <w:t>l</w:t>
      </w:r>
      <w:r w:rsidRPr="00985103">
        <w:rPr>
          <w:rFonts w:ascii="Times New Roman" w:hAnsi="Times New Roman"/>
          <w:kern w:val="0"/>
          <w:sz w:val="24"/>
          <w:szCs w:val="24"/>
        </w:rPr>
        <w:t>y Mammoth and its disappearance, plays out.</w:t>
      </w:r>
      <w:r>
        <w:rPr>
          <w:rFonts w:ascii="Times New Roman" w:hAnsi="Times New Roman"/>
          <w:kern w:val="0"/>
          <w:sz w:val="24"/>
          <w:szCs w:val="24"/>
        </w:rPr>
        <w:t xml:space="preserve"> And</w:t>
      </w:r>
      <w:r w:rsidRPr="00985103">
        <w:rPr>
          <w:rFonts w:ascii="Times New Roman" w:hAnsi="Times New Roman"/>
          <w:kern w:val="0"/>
          <w:sz w:val="24"/>
          <w:szCs w:val="24"/>
        </w:rPr>
        <w:t xml:space="preserve"> is </w:t>
      </w:r>
      <w:r>
        <w:rPr>
          <w:rFonts w:ascii="Times New Roman" w:hAnsi="Times New Roman"/>
          <w:kern w:val="0"/>
          <w:sz w:val="24"/>
          <w:szCs w:val="24"/>
        </w:rPr>
        <w:t xml:space="preserve">being </w:t>
      </w:r>
      <w:r w:rsidRPr="00985103">
        <w:rPr>
          <w:rFonts w:ascii="Times New Roman" w:hAnsi="Times New Roman"/>
          <w:kern w:val="0"/>
          <w:sz w:val="24"/>
          <w:szCs w:val="24"/>
        </w:rPr>
        <w:t>replayed</w:t>
      </w:r>
      <w:r>
        <w:rPr>
          <w:rFonts w:ascii="Times New Roman" w:hAnsi="Times New Roman"/>
          <w:kern w:val="0"/>
          <w:sz w:val="24"/>
          <w:szCs w:val="24"/>
        </w:rPr>
        <w:t xml:space="preserve">. </w:t>
      </w:r>
      <w:r w:rsidRPr="00116923">
        <w:rPr>
          <w:rFonts w:ascii="Times New Roman" w:hAnsi="Times New Roman"/>
          <w:kern w:val="0"/>
          <w:sz w:val="24"/>
          <w:szCs w:val="24"/>
        </w:rPr>
        <w:t xml:space="preserve">Both in the stories restoration biologists are telling about </w:t>
      </w:r>
      <w:r w:rsidRPr="00116923">
        <w:rPr>
          <w:rFonts w:ascii="Times New Roman" w:hAnsi="Times New Roman"/>
          <w:i/>
          <w:kern w:val="0"/>
          <w:sz w:val="24"/>
          <w:szCs w:val="24"/>
        </w:rPr>
        <w:t>which</w:t>
      </w:r>
      <w:r w:rsidRPr="00116923">
        <w:rPr>
          <w:rFonts w:ascii="Times New Roman" w:hAnsi="Times New Roman"/>
          <w:kern w:val="0"/>
          <w:sz w:val="24"/>
          <w:szCs w:val="24"/>
        </w:rPr>
        <w:t xml:space="preserve"> moment in prehistory is the ecologically-correct one to “return to,” and in the mammoth (literally) fantasies about the time before-humans literally under construction by rich industrialists in the 21</w:t>
      </w:r>
      <w:r w:rsidRPr="00116923">
        <w:rPr>
          <w:rFonts w:ascii="Times New Roman" w:hAnsi="Times New Roman"/>
          <w:kern w:val="0"/>
          <w:sz w:val="24"/>
          <w:szCs w:val="24"/>
          <w:vertAlign w:val="superscript"/>
        </w:rPr>
        <w:t>st</w:t>
      </w:r>
      <w:r w:rsidRPr="00116923">
        <w:rPr>
          <w:rFonts w:ascii="Times New Roman" w:hAnsi="Times New Roman"/>
          <w:kern w:val="0"/>
          <w:sz w:val="24"/>
          <w:szCs w:val="24"/>
        </w:rPr>
        <w:t xml:space="preserve"> century (Lovgren, 2005).</w:t>
      </w:r>
      <w:r w:rsidRPr="00116923">
        <w:rPr>
          <w:rStyle w:val="FootnoteReference"/>
          <w:rFonts w:eastAsia="MS Mincho"/>
          <w:kern w:val="0"/>
          <w:szCs w:val="24"/>
        </w:rPr>
        <w:footnoteReference w:id="25"/>
      </w:r>
      <w:r w:rsidRPr="00C408F2">
        <w:rPr>
          <w:rStyle w:val="EndnoteReference"/>
          <w:rFonts w:ascii="Times New Roman" w:hAnsi="Times New Roman"/>
          <w:kern w:val="0"/>
          <w:sz w:val="24"/>
          <w:szCs w:val="24"/>
        </w:rPr>
        <w:t xml:space="preserve"> </w:t>
      </w:r>
      <w:r w:rsidRPr="00985103">
        <w:rPr>
          <w:rFonts w:ascii="Times New Roman" w:hAnsi="Times New Roman"/>
          <w:kern w:val="0"/>
          <w:sz w:val="24"/>
          <w:szCs w:val="24"/>
        </w:rPr>
        <w:t xml:space="preserve">Notice that the animal again, even in the historical misanthropic imaginary, sits right next to us. Notice that we are able to </w:t>
      </w:r>
      <w:r>
        <w:rPr>
          <w:rFonts w:ascii="Times New Roman" w:hAnsi="Times New Roman"/>
          <w:kern w:val="0"/>
          <w:sz w:val="24"/>
          <w:szCs w:val="24"/>
        </w:rPr>
        <w:t>see, and are</w:t>
      </w:r>
      <w:r w:rsidRPr="00985103">
        <w:rPr>
          <w:rFonts w:ascii="Times New Roman" w:hAnsi="Times New Roman"/>
          <w:kern w:val="0"/>
          <w:sz w:val="24"/>
          <w:szCs w:val="24"/>
        </w:rPr>
        <w:t xml:space="preserve"> willing to be shown, that we humans start as alligator-like creatures crawling up out of the Devonian mud, from water to air</w:t>
      </w:r>
      <w:r>
        <w:rPr>
          <w:rFonts w:ascii="Times New Roman" w:hAnsi="Times New Roman"/>
          <w:kern w:val="0"/>
          <w:sz w:val="24"/>
          <w:szCs w:val="24"/>
        </w:rPr>
        <w:t xml:space="preserve">, </w:t>
      </w:r>
      <w:r w:rsidRPr="00985103">
        <w:rPr>
          <w:rFonts w:ascii="Times New Roman" w:hAnsi="Times New Roman"/>
          <w:kern w:val="0"/>
          <w:sz w:val="24"/>
          <w:szCs w:val="24"/>
        </w:rPr>
        <w:t>our musculatures and genes evolving, yet still trailing out behind us</w:t>
      </w:r>
      <w:r>
        <w:rPr>
          <w:rFonts w:ascii="Times New Roman" w:hAnsi="Times New Roman"/>
          <w:kern w:val="0"/>
          <w:sz w:val="24"/>
          <w:szCs w:val="24"/>
        </w:rPr>
        <w:t xml:space="preserve"> into </w:t>
      </w:r>
      <w:r w:rsidRPr="00985103">
        <w:rPr>
          <w:rFonts w:ascii="Times New Roman" w:hAnsi="Times New Roman"/>
          <w:kern w:val="0"/>
          <w:sz w:val="24"/>
          <w:szCs w:val="24"/>
        </w:rPr>
        <w:t xml:space="preserve">the fan-shaped Kingdom </w:t>
      </w:r>
      <w:r w:rsidRPr="003F3E10">
        <w:rPr>
          <w:rFonts w:ascii="Times New Roman" w:hAnsi="Times New Roman"/>
          <w:i/>
          <w:kern w:val="0"/>
          <w:sz w:val="24"/>
          <w:szCs w:val="24"/>
        </w:rPr>
        <w:t>Animalia</w:t>
      </w:r>
      <w:r w:rsidRPr="00985103">
        <w:rPr>
          <w:rFonts w:ascii="Times New Roman" w:hAnsi="Times New Roman"/>
          <w:kern w:val="0"/>
          <w:sz w:val="24"/>
          <w:szCs w:val="24"/>
        </w:rPr>
        <w:t>, back through the reptiles and the birds and those great dinosaurs. That is what we are willing to see as our actuality. And though we know, intellectually, that we always have and always will live by grace of the oxygen produced by said plants, and are built from the very carbons of them, and run our entire global economy of</w:t>
      </w:r>
      <w:r>
        <w:rPr>
          <w:rFonts w:ascii="Times New Roman" w:hAnsi="Times New Roman"/>
          <w:kern w:val="0"/>
          <w:sz w:val="24"/>
          <w:szCs w:val="24"/>
        </w:rPr>
        <w:t>f</w:t>
      </w:r>
      <w:r w:rsidRPr="00985103">
        <w:rPr>
          <w:rFonts w:ascii="Times New Roman" w:hAnsi="Times New Roman"/>
          <w:kern w:val="0"/>
          <w:sz w:val="24"/>
          <w:szCs w:val="24"/>
        </w:rPr>
        <w:t xml:space="preserve"> the backs of that carbon, we are unable to think let alone live the novel and profound truths of </w:t>
      </w:r>
      <w:r w:rsidRPr="00985103">
        <w:rPr>
          <w:rFonts w:ascii="Times New Roman" w:hAnsi="Times New Roman"/>
          <w:i/>
          <w:kern w:val="0"/>
          <w:sz w:val="24"/>
          <w:szCs w:val="24"/>
        </w:rPr>
        <w:t>these</w:t>
      </w:r>
      <w:r w:rsidRPr="00985103">
        <w:rPr>
          <w:rFonts w:ascii="Times New Roman" w:hAnsi="Times New Roman"/>
          <w:kern w:val="0"/>
          <w:sz w:val="24"/>
          <w:szCs w:val="24"/>
        </w:rPr>
        <w:t xml:space="preserve"> vegetal relations. </w:t>
      </w:r>
      <w:r>
        <w:rPr>
          <w:rFonts w:ascii="Times New Roman" w:hAnsi="Times New Roman"/>
          <w:kern w:val="0"/>
          <w:sz w:val="24"/>
          <w:szCs w:val="24"/>
        </w:rPr>
        <w:t>This</w:t>
      </w:r>
      <w:r w:rsidRPr="002B236D">
        <w:rPr>
          <w:rFonts w:ascii="Times New Roman" w:hAnsi="Times New Roman"/>
          <w:kern w:val="0"/>
          <w:sz w:val="24"/>
          <w:szCs w:val="24"/>
        </w:rPr>
        <w:t xml:space="preserve"> backgrounding</w:t>
      </w:r>
      <w:r>
        <w:rPr>
          <w:rFonts w:ascii="Times New Roman" w:hAnsi="Times New Roman"/>
          <w:kern w:val="0"/>
          <w:sz w:val="24"/>
          <w:szCs w:val="24"/>
        </w:rPr>
        <w:t xml:space="preserve"> of herbality—</w:t>
      </w:r>
      <w:r w:rsidRPr="00985103">
        <w:rPr>
          <w:rFonts w:ascii="Times New Roman" w:hAnsi="Times New Roman"/>
          <w:kern w:val="0"/>
          <w:sz w:val="24"/>
          <w:szCs w:val="24"/>
        </w:rPr>
        <w:t>i</w:t>
      </w:r>
      <w:r>
        <w:rPr>
          <w:rFonts w:ascii="Times New Roman" w:hAnsi="Times New Roman"/>
          <w:kern w:val="0"/>
          <w:sz w:val="24"/>
          <w:szCs w:val="24"/>
        </w:rPr>
        <w:t>ndeed of ecology—</w:t>
      </w:r>
      <w:r w:rsidRPr="00985103">
        <w:rPr>
          <w:rFonts w:ascii="Times New Roman" w:hAnsi="Times New Roman"/>
          <w:kern w:val="0"/>
          <w:sz w:val="24"/>
          <w:szCs w:val="24"/>
        </w:rPr>
        <w:t>is directly linked to the foregrounding of animality. It is a gestalt operation</w:t>
      </w:r>
      <w:r>
        <w:rPr>
          <w:rFonts w:ascii="Times New Roman" w:hAnsi="Times New Roman"/>
          <w:kern w:val="0"/>
          <w:sz w:val="24"/>
          <w:szCs w:val="24"/>
        </w:rPr>
        <w:t xml:space="preserve"> (Zwicky, 2003).</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Pr>
          <w:rFonts w:ascii="Times New Roman" w:hAnsi="Times New Roman"/>
          <w:sz w:val="24"/>
          <w:szCs w:val="24"/>
        </w:rPr>
        <w:t xml:space="preserve">One final gesture, a confession: </w:t>
      </w:r>
      <w:r w:rsidRPr="00985103">
        <w:rPr>
          <w:rFonts w:ascii="Times New Roman" w:hAnsi="Times New Roman"/>
          <w:sz w:val="24"/>
          <w:szCs w:val="24"/>
        </w:rPr>
        <w:t>I don’t</w:t>
      </w:r>
      <w:r>
        <w:rPr>
          <w:rFonts w:ascii="Times New Roman" w:hAnsi="Times New Roman"/>
          <w:sz w:val="24"/>
          <w:szCs w:val="24"/>
        </w:rPr>
        <w:t xml:space="preserve"> really</w:t>
      </w:r>
      <w:r w:rsidRPr="00985103">
        <w:rPr>
          <w:rFonts w:ascii="Times New Roman" w:hAnsi="Times New Roman"/>
          <w:sz w:val="24"/>
          <w:szCs w:val="24"/>
        </w:rPr>
        <w:t xml:space="preserve"> </w:t>
      </w:r>
      <w:r w:rsidRPr="00985103">
        <w:rPr>
          <w:rFonts w:ascii="Times New Roman" w:hAnsi="Times New Roman"/>
          <w:i/>
          <w:sz w:val="24"/>
          <w:szCs w:val="24"/>
        </w:rPr>
        <w:t>love</w:t>
      </w:r>
      <w:r w:rsidRPr="00985103">
        <w:rPr>
          <w:rFonts w:ascii="Times New Roman" w:hAnsi="Times New Roman"/>
          <w:sz w:val="24"/>
          <w:szCs w:val="24"/>
        </w:rPr>
        <w:t xml:space="preserve"> animals. I love philosophy. </w:t>
      </w:r>
      <w:r>
        <w:rPr>
          <w:rFonts w:ascii="Times New Roman" w:hAnsi="Times New Roman"/>
          <w:sz w:val="24"/>
          <w:szCs w:val="24"/>
        </w:rPr>
        <w:t>My question</w:t>
      </w:r>
      <w:r w:rsidRPr="00985103">
        <w:rPr>
          <w:rFonts w:ascii="Times New Roman" w:hAnsi="Times New Roman"/>
          <w:sz w:val="24"/>
          <w:szCs w:val="24"/>
        </w:rPr>
        <w:t xml:space="preserve"> is this: Have these efforts of thinking-the-animal been good for thinking? In general, no.  </w:t>
      </w:r>
    </w:p>
    <w:p w:rsidR="002D463E" w:rsidRPr="00985103"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 xml:space="preserve">The animal-as-non-human does not belong to a sad, myopic and ameliorable moment of Western philosophy’s past. It is central to, and constitutive of that past: </w:t>
      </w:r>
      <w:r w:rsidRPr="00985103">
        <w:rPr>
          <w:rFonts w:ascii="Times New Roman" w:hAnsi="Times New Roman"/>
          <w:sz w:val="24"/>
          <w:szCs w:val="24"/>
        </w:rPr>
        <w:t xml:space="preserve">thinking-the-animal plays a critical and </w:t>
      </w:r>
      <w:r>
        <w:rPr>
          <w:rFonts w:ascii="Times New Roman" w:hAnsi="Times New Roman"/>
          <w:sz w:val="24"/>
          <w:szCs w:val="24"/>
        </w:rPr>
        <w:t>an exclusive role in “</w:t>
      </w:r>
      <w:r w:rsidRPr="00985103">
        <w:rPr>
          <w:rFonts w:ascii="Times New Roman" w:hAnsi="Times New Roman"/>
          <w:sz w:val="24"/>
          <w:szCs w:val="24"/>
        </w:rPr>
        <w:t>onto-stabilizing</w:t>
      </w:r>
      <w:r>
        <w:rPr>
          <w:rFonts w:ascii="Times New Roman" w:hAnsi="Times New Roman"/>
          <w:sz w:val="24"/>
          <w:szCs w:val="24"/>
        </w:rPr>
        <w:t>”</w:t>
      </w:r>
      <w:r>
        <w:rPr>
          <w:rStyle w:val="FootnoteReference"/>
          <w:rFonts w:eastAsia="MS Mincho"/>
          <w:szCs w:val="24"/>
        </w:rPr>
        <w:footnoteReference w:id="26"/>
      </w:r>
      <w:r w:rsidRPr="00985103">
        <w:rPr>
          <w:rFonts w:ascii="Times New Roman" w:hAnsi="Times New Roman"/>
          <w:sz w:val="24"/>
          <w:szCs w:val="24"/>
        </w:rPr>
        <w:t xml:space="preserve"> a certain version of human life, including </w:t>
      </w:r>
      <w:r>
        <w:rPr>
          <w:rFonts w:ascii="Times New Roman" w:hAnsi="Times New Roman"/>
          <w:sz w:val="24"/>
          <w:szCs w:val="24"/>
        </w:rPr>
        <w:t xml:space="preserve">what questions and answers </w:t>
      </w:r>
      <w:r w:rsidRPr="00985103">
        <w:rPr>
          <w:rFonts w:ascii="Times New Roman" w:hAnsi="Times New Roman"/>
          <w:sz w:val="24"/>
          <w:szCs w:val="24"/>
        </w:rPr>
        <w:t>human</w:t>
      </w:r>
      <w:r>
        <w:rPr>
          <w:rFonts w:ascii="Times New Roman" w:hAnsi="Times New Roman"/>
          <w:sz w:val="24"/>
          <w:szCs w:val="24"/>
        </w:rPr>
        <w:t>s come</w:t>
      </w:r>
      <w:r w:rsidRPr="00985103">
        <w:rPr>
          <w:rFonts w:ascii="Times New Roman" w:hAnsi="Times New Roman"/>
          <w:sz w:val="24"/>
          <w:szCs w:val="24"/>
        </w:rPr>
        <w:t xml:space="preserve"> up with while thinking, and the overall style of that activity</w:t>
      </w:r>
      <w:r w:rsidRPr="00985103">
        <w:rPr>
          <w:rFonts w:ascii="Times New Roman" w:hAnsi="Times New Roman"/>
          <w:kern w:val="0"/>
          <w:sz w:val="24"/>
          <w:szCs w:val="24"/>
        </w:rPr>
        <w:t xml:space="preserve">.  And, it will likely dominate the character of thought’s future, even in domains far from “animal philosophy” for we are speaking here not of the content of thought but of its </w:t>
      </w:r>
      <w:r>
        <w:rPr>
          <w:rFonts w:ascii="Times New Roman" w:hAnsi="Times New Roman"/>
          <w:kern w:val="0"/>
          <w:sz w:val="24"/>
          <w:szCs w:val="24"/>
        </w:rPr>
        <w:t xml:space="preserve">very </w:t>
      </w:r>
      <w:r w:rsidRPr="00985103">
        <w:rPr>
          <w:rFonts w:ascii="Times New Roman" w:hAnsi="Times New Roman"/>
          <w:kern w:val="0"/>
          <w:sz w:val="24"/>
          <w:szCs w:val="24"/>
        </w:rPr>
        <w:t>architecture.  The saturation of Weste</w:t>
      </w:r>
      <w:r>
        <w:rPr>
          <w:rFonts w:ascii="Times New Roman" w:hAnsi="Times New Roman"/>
          <w:kern w:val="0"/>
          <w:sz w:val="24"/>
          <w:szCs w:val="24"/>
        </w:rPr>
        <w:t>rn philosophy by animality has worn a rut in</w:t>
      </w:r>
      <w:r w:rsidRPr="00985103">
        <w:rPr>
          <w:rFonts w:ascii="Times New Roman" w:hAnsi="Times New Roman"/>
          <w:kern w:val="0"/>
          <w:sz w:val="24"/>
          <w:szCs w:val="24"/>
        </w:rPr>
        <w:t xml:space="preserve"> occidental ethical and political thought</w:t>
      </w:r>
      <w:r>
        <w:rPr>
          <w:rFonts w:ascii="Times New Roman" w:hAnsi="Times New Roman"/>
          <w:kern w:val="0"/>
          <w:sz w:val="24"/>
          <w:szCs w:val="24"/>
        </w:rPr>
        <w:t>, causing what I call a “mental-stereotypy”:</w:t>
      </w:r>
      <w:r w:rsidRPr="00985103">
        <w:rPr>
          <w:rFonts w:ascii="Times New Roman" w:hAnsi="Times New Roman"/>
          <w:kern w:val="0"/>
          <w:sz w:val="24"/>
          <w:szCs w:val="24"/>
        </w:rPr>
        <w:t xml:space="preserve"> </w:t>
      </w:r>
      <w:r>
        <w:rPr>
          <w:rFonts w:ascii="Times New Roman" w:hAnsi="Times New Roman"/>
          <w:kern w:val="0"/>
          <w:sz w:val="24"/>
          <w:szCs w:val="24"/>
        </w:rPr>
        <w:t xml:space="preserve">the repetitive, ritualistic tic-like acts of binary </w:t>
      </w:r>
      <w:r w:rsidRPr="00985103">
        <w:rPr>
          <w:rFonts w:ascii="Times New Roman" w:hAnsi="Times New Roman"/>
          <w:kern w:val="0"/>
          <w:sz w:val="24"/>
          <w:szCs w:val="24"/>
        </w:rPr>
        <w:t xml:space="preserve">judgment and </w:t>
      </w:r>
      <w:r>
        <w:rPr>
          <w:rFonts w:ascii="Times New Roman" w:hAnsi="Times New Roman"/>
          <w:kern w:val="0"/>
          <w:sz w:val="24"/>
          <w:szCs w:val="24"/>
        </w:rPr>
        <w:t xml:space="preserve">the </w:t>
      </w:r>
      <w:r w:rsidRPr="00985103">
        <w:rPr>
          <w:rFonts w:ascii="Times New Roman" w:hAnsi="Times New Roman"/>
          <w:kern w:val="0"/>
          <w:sz w:val="24"/>
          <w:szCs w:val="24"/>
        </w:rPr>
        <w:t>exten</w:t>
      </w:r>
      <w:r>
        <w:rPr>
          <w:rFonts w:ascii="Times New Roman" w:hAnsi="Times New Roman"/>
          <w:kern w:val="0"/>
          <w:sz w:val="24"/>
          <w:szCs w:val="24"/>
        </w:rPr>
        <w:t>sion of categories outward from a prototype</w:t>
      </w:r>
      <w:r w:rsidRPr="00985103">
        <w:rPr>
          <w:rFonts w:ascii="Times New Roman" w:hAnsi="Times New Roman"/>
          <w:kern w:val="0"/>
          <w:sz w:val="24"/>
          <w:szCs w:val="24"/>
        </w:rPr>
        <w:t>.</w:t>
      </w:r>
      <w:r>
        <w:rPr>
          <w:rStyle w:val="FootnoteReference"/>
          <w:rFonts w:eastAsia="MS Mincho"/>
          <w:kern w:val="0"/>
          <w:szCs w:val="24"/>
        </w:rPr>
        <w:footnoteReference w:id="27"/>
      </w:r>
      <w:r w:rsidRPr="00985103">
        <w:rPr>
          <w:rFonts w:ascii="Times New Roman" w:hAnsi="Times New Roman"/>
          <w:kern w:val="0"/>
          <w:sz w:val="24"/>
          <w:szCs w:val="24"/>
        </w:rPr>
        <w:t xml:space="preserve">  Thinking the animal </w:t>
      </w:r>
      <w:r>
        <w:rPr>
          <w:rFonts w:ascii="Times New Roman" w:hAnsi="Times New Roman"/>
          <w:kern w:val="0"/>
          <w:sz w:val="24"/>
          <w:szCs w:val="24"/>
        </w:rPr>
        <w:t xml:space="preserve">seems to have </w:t>
      </w:r>
      <w:r w:rsidRPr="00985103">
        <w:rPr>
          <w:rFonts w:ascii="Times New Roman" w:hAnsi="Times New Roman"/>
          <w:kern w:val="0"/>
          <w:sz w:val="24"/>
          <w:szCs w:val="24"/>
        </w:rPr>
        <w:t xml:space="preserve">not caused us to take up the difference that difference can, and should make, to </w:t>
      </w:r>
      <w:r>
        <w:rPr>
          <w:rFonts w:ascii="Times New Roman" w:hAnsi="Times New Roman"/>
          <w:kern w:val="0"/>
          <w:sz w:val="24"/>
          <w:szCs w:val="24"/>
        </w:rPr>
        <w:t xml:space="preserve">“inherited thinking, its presuppositions and its dogma” (Derrida 2003: 122). </w:t>
      </w:r>
      <w:r w:rsidRPr="00985103">
        <w:rPr>
          <w:rFonts w:ascii="Times New Roman" w:hAnsi="Times New Roman"/>
          <w:kern w:val="0"/>
          <w:sz w:val="24"/>
          <w:szCs w:val="24"/>
        </w:rPr>
        <w:t xml:space="preserve"> </w:t>
      </w:r>
      <w:r>
        <w:rPr>
          <w:rFonts w:ascii="Times New Roman" w:hAnsi="Times New Roman"/>
          <w:kern w:val="0"/>
          <w:sz w:val="24"/>
          <w:szCs w:val="24"/>
        </w:rPr>
        <w:t>Jacques Derrida is certainly right that,</w:t>
      </w:r>
    </w:p>
    <w:p w:rsidR="002D463E" w:rsidRDefault="002D463E" w:rsidP="002D463E">
      <w:pPr>
        <w:pStyle w:val="InsideAddress"/>
        <w:spacing w:line="240" w:lineRule="auto"/>
        <w:ind w:left="720"/>
        <w:rPr>
          <w:rFonts w:ascii="Times New Roman" w:hAnsi="Times New Roman"/>
          <w:kern w:val="0"/>
          <w:sz w:val="24"/>
          <w:szCs w:val="24"/>
        </w:rPr>
      </w:pPr>
    </w:p>
    <w:p w:rsidR="002D463E" w:rsidRDefault="002D463E" w:rsidP="00A30E4F">
      <w:pPr>
        <w:pStyle w:val="InsideAddress"/>
        <w:spacing w:line="360" w:lineRule="auto"/>
        <w:ind w:left="737" w:right="737"/>
        <w:rPr>
          <w:rFonts w:ascii="Times New Roman" w:hAnsi="Times New Roman"/>
          <w:kern w:val="0"/>
          <w:sz w:val="24"/>
          <w:szCs w:val="24"/>
        </w:rPr>
      </w:pPr>
      <w:r>
        <w:rPr>
          <w:rFonts w:ascii="Times New Roman" w:hAnsi="Times New Roman"/>
          <w:kern w:val="0"/>
          <w:sz w:val="24"/>
          <w:szCs w:val="24"/>
        </w:rPr>
        <w:t xml:space="preserve">…it is a matter…of taking that difference into account within the whole differentiated field of experience and of a world of life-forms. And that means refraining from reducing this differentiated and multiple difference, in a similarly massive and homogenizing manner, to one between the human subject, on the one hand, and the nonsubject that is the animal in general, on the other… (2003: 128) </w:t>
      </w:r>
    </w:p>
    <w:p w:rsidR="002D463E"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But, he seems to have underestimated the difficulty of getting to that “whole world of life-forms.” He himself got stuck on cats (2008) and meat (1991). In their remarkable eighty page plateau on “Becoming” in </w:t>
      </w:r>
      <w:r w:rsidRPr="0056402A">
        <w:rPr>
          <w:rFonts w:ascii="Times New Roman" w:hAnsi="Times New Roman"/>
          <w:i/>
          <w:kern w:val="0"/>
          <w:sz w:val="24"/>
          <w:szCs w:val="24"/>
        </w:rPr>
        <w:t>A Thousand Plateaus</w:t>
      </w:r>
      <w:r>
        <w:rPr>
          <w:rFonts w:ascii="Times New Roman" w:hAnsi="Times New Roman"/>
          <w:kern w:val="0"/>
          <w:sz w:val="24"/>
          <w:szCs w:val="24"/>
        </w:rPr>
        <w:t>, Deleuze and Guattari caution us that “[b]ecoming-animal is only one becoming among others” (1987: 272). One can, “in no preformed logical order” (251) apparently “encounter becomings-woman, becomings-child... taking it from animal, vegetable, and mineral becomings to becomings of bacteria, viruses, molecules and things imperceptible” (248). But, in truth, that plateau is overrun by dogs, wolves, birds, cats, horses, whales and tics. And they confess to believing “in the existence of very special becomings-animal traversing human beings and sweeping them away…” (1987: 237). Animal-thinking, even in radically unconventional thinkers, seems to</w:t>
      </w:r>
      <w:r w:rsidRPr="00985103">
        <w:rPr>
          <w:rFonts w:ascii="Times New Roman" w:hAnsi="Times New Roman"/>
          <w:kern w:val="0"/>
          <w:sz w:val="24"/>
          <w:szCs w:val="24"/>
        </w:rPr>
        <w:t xml:space="preserve"> block</w:t>
      </w:r>
      <w:r>
        <w:rPr>
          <w:rFonts w:ascii="Times New Roman" w:hAnsi="Times New Roman"/>
          <w:kern w:val="0"/>
          <w:sz w:val="24"/>
          <w:szCs w:val="24"/>
        </w:rPr>
        <w:t xml:space="preserve"> </w:t>
      </w:r>
      <w:r w:rsidRPr="00985103">
        <w:rPr>
          <w:rFonts w:ascii="Times New Roman" w:hAnsi="Times New Roman"/>
          <w:kern w:val="0"/>
          <w:sz w:val="24"/>
          <w:szCs w:val="24"/>
        </w:rPr>
        <w:t xml:space="preserve">rather than enable </w:t>
      </w:r>
      <w:r>
        <w:rPr>
          <w:rFonts w:ascii="Times New Roman" w:hAnsi="Times New Roman"/>
          <w:kern w:val="0"/>
          <w:sz w:val="24"/>
          <w:szCs w:val="24"/>
        </w:rPr>
        <w:t xml:space="preserve">“acts of understanding performed with </w:t>
      </w:r>
      <w:r w:rsidRPr="00ED37CC">
        <w:rPr>
          <w:rFonts w:ascii="Times New Roman" w:hAnsi="Times New Roman"/>
          <w:i/>
          <w:kern w:val="0"/>
          <w:sz w:val="24"/>
          <w:szCs w:val="24"/>
        </w:rPr>
        <w:t>the maximum perspective possible</w:t>
      </w:r>
      <w:r w:rsidRPr="00985103">
        <w:rPr>
          <w:rFonts w:ascii="Times New Roman" w:hAnsi="Times New Roman"/>
          <w:kern w:val="0"/>
          <w:sz w:val="24"/>
          <w:szCs w:val="24"/>
        </w:rPr>
        <w:t>”</w:t>
      </w:r>
      <w:r>
        <w:rPr>
          <w:rFonts w:ascii="Times New Roman" w:hAnsi="Times New Roman"/>
          <w:kern w:val="0"/>
          <w:sz w:val="24"/>
          <w:szCs w:val="24"/>
        </w:rPr>
        <w:t xml:space="preserve"> (Naess, 1977, as cited in Hurley, 1988: iii). Why? Be</w:t>
      </w:r>
      <w:r w:rsidRPr="00985103">
        <w:rPr>
          <w:rFonts w:ascii="Times New Roman" w:hAnsi="Times New Roman"/>
          <w:kern w:val="0"/>
          <w:sz w:val="24"/>
          <w:szCs w:val="24"/>
        </w:rPr>
        <w:t xml:space="preserve">cause </w:t>
      </w:r>
      <w:r>
        <w:rPr>
          <w:rFonts w:ascii="Times New Roman" w:hAnsi="Times New Roman"/>
          <w:kern w:val="0"/>
          <w:sz w:val="24"/>
          <w:szCs w:val="24"/>
        </w:rPr>
        <w:t xml:space="preserve">animality </w:t>
      </w:r>
      <w:r w:rsidRPr="00985103">
        <w:rPr>
          <w:rFonts w:ascii="Times New Roman" w:hAnsi="Times New Roman"/>
          <w:kern w:val="0"/>
          <w:sz w:val="24"/>
          <w:szCs w:val="24"/>
        </w:rPr>
        <w:t xml:space="preserve">has </w:t>
      </w:r>
      <w:r>
        <w:rPr>
          <w:rFonts w:ascii="Times New Roman" w:hAnsi="Times New Roman"/>
          <w:kern w:val="0"/>
          <w:sz w:val="24"/>
          <w:szCs w:val="24"/>
        </w:rPr>
        <w:t>a</w:t>
      </w:r>
      <w:r w:rsidRPr="00985103">
        <w:rPr>
          <w:rFonts w:ascii="Times New Roman" w:hAnsi="Times New Roman"/>
          <w:kern w:val="0"/>
          <w:sz w:val="24"/>
          <w:szCs w:val="24"/>
        </w:rPr>
        <w:t xml:space="preserve">n assured berth </w:t>
      </w:r>
      <w:r>
        <w:rPr>
          <w:rFonts w:ascii="Times New Roman" w:hAnsi="Times New Roman"/>
          <w:kern w:val="0"/>
          <w:sz w:val="24"/>
          <w:szCs w:val="24"/>
        </w:rPr>
        <w:t xml:space="preserve">deep </w:t>
      </w:r>
      <w:r w:rsidRPr="00985103">
        <w:rPr>
          <w:rFonts w:ascii="Times New Roman" w:hAnsi="Times New Roman"/>
          <w:kern w:val="0"/>
          <w:sz w:val="24"/>
          <w:szCs w:val="24"/>
        </w:rPr>
        <w:t xml:space="preserve">within the </w:t>
      </w:r>
      <w:r>
        <w:rPr>
          <w:rFonts w:ascii="Times New Roman" w:hAnsi="Times New Roman"/>
          <w:kern w:val="0"/>
          <w:sz w:val="24"/>
          <w:szCs w:val="24"/>
        </w:rPr>
        <w:t>very structures</w:t>
      </w:r>
      <w:r w:rsidRPr="00985103">
        <w:rPr>
          <w:rFonts w:ascii="Times New Roman" w:hAnsi="Times New Roman"/>
          <w:kern w:val="0"/>
          <w:sz w:val="24"/>
          <w:szCs w:val="24"/>
        </w:rPr>
        <w:t xml:space="preserve"> of thinking, imagining</w:t>
      </w:r>
      <w:r>
        <w:rPr>
          <w:rFonts w:ascii="Times New Roman" w:hAnsi="Times New Roman"/>
          <w:kern w:val="0"/>
          <w:sz w:val="24"/>
          <w:szCs w:val="24"/>
        </w:rPr>
        <w:t xml:space="preserve">, feeling, desiring. What would it take to actually think-otherwise, to truly think </w:t>
      </w:r>
      <w:r w:rsidRPr="0082637F">
        <w:rPr>
          <w:rFonts w:ascii="Times New Roman" w:hAnsi="Times New Roman"/>
          <w:i/>
          <w:kern w:val="0"/>
          <w:sz w:val="24"/>
          <w:szCs w:val="24"/>
        </w:rPr>
        <w:t>ecosophically</w:t>
      </w:r>
      <w:r>
        <w:rPr>
          <w:rFonts w:ascii="Times New Roman" w:hAnsi="Times New Roman"/>
          <w:kern w:val="0"/>
          <w:sz w:val="24"/>
          <w:szCs w:val="24"/>
        </w:rPr>
        <w:t xml:space="preserve">? Might we be able to think-the-plant and avoid (re)onto-stabilizing ourselves? Might some aspect of herbivory help us to have a new thought without our domesticating them, and thought, in turn? </w:t>
      </w:r>
    </w:p>
    <w:p w:rsidR="00F63083" w:rsidRDefault="00F63083" w:rsidP="002D463E">
      <w:pPr>
        <w:pStyle w:val="InsideAddress"/>
        <w:spacing w:line="360" w:lineRule="auto"/>
        <w:rPr>
          <w:rFonts w:ascii="Times New Roman" w:hAnsi="Times New Roman"/>
          <w:b/>
          <w:kern w:val="0"/>
          <w:sz w:val="24"/>
          <w:szCs w:val="24"/>
        </w:rPr>
      </w:pPr>
    </w:p>
    <w:p w:rsidR="002D463E" w:rsidRPr="00985103" w:rsidRDefault="002D463E" w:rsidP="00E35253">
      <w:pPr>
        <w:pStyle w:val="Heading3"/>
      </w:pPr>
      <w:r w:rsidRPr="00985103">
        <w:t xml:space="preserve">Part Two: </w:t>
      </w:r>
      <w:r w:rsidRPr="00985103">
        <w:rPr>
          <w:i/>
        </w:rPr>
        <w:t xml:space="preserve">Making Heads or Tails of </w:t>
      </w:r>
      <w:r w:rsidRPr="00985103">
        <w:t>PLANT PHILOSOPHY</w:t>
      </w:r>
    </w:p>
    <w:p w:rsidR="002D463E" w:rsidRPr="00985103"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There are not many of us doing </w:t>
      </w:r>
      <w:r w:rsidRPr="00985103">
        <w:rPr>
          <w:rFonts w:ascii="Times New Roman" w:hAnsi="Times New Roman"/>
          <w:kern w:val="0"/>
          <w:sz w:val="24"/>
          <w:szCs w:val="24"/>
        </w:rPr>
        <w:t xml:space="preserve">vegetable philosophy, either professionally or casually. What </w:t>
      </w:r>
      <w:r w:rsidRPr="009B64AD">
        <w:rPr>
          <w:rFonts w:ascii="Times New Roman" w:hAnsi="Times New Roman"/>
          <w:i/>
          <w:kern w:val="0"/>
          <w:sz w:val="24"/>
          <w:szCs w:val="24"/>
        </w:rPr>
        <w:t>could</w:t>
      </w:r>
      <w:r w:rsidRPr="00985103">
        <w:rPr>
          <w:rFonts w:ascii="Times New Roman" w:hAnsi="Times New Roman"/>
          <w:kern w:val="0"/>
          <w:sz w:val="24"/>
          <w:szCs w:val="24"/>
        </w:rPr>
        <w:t xml:space="preserve"> </w:t>
      </w:r>
      <w:r>
        <w:rPr>
          <w:rFonts w:ascii="Times New Roman" w:hAnsi="Times New Roman"/>
          <w:kern w:val="0"/>
          <w:sz w:val="24"/>
          <w:szCs w:val="24"/>
        </w:rPr>
        <w:t>philosophical botany</w:t>
      </w:r>
      <w:r w:rsidRPr="00985103">
        <w:rPr>
          <w:rFonts w:ascii="Times New Roman" w:hAnsi="Times New Roman"/>
          <w:kern w:val="0"/>
          <w:sz w:val="24"/>
          <w:szCs w:val="24"/>
        </w:rPr>
        <w:t xml:space="preserve"> be? Here is one possibility:</w:t>
      </w:r>
    </w:p>
    <w:p w:rsidR="002D463E" w:rsidRPr="00985103"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t>Richard Karban</w:t>
      </w:r>
      <w:r>
        <w:rPr>
          <w:rFonts w:ascii="Times New Roman" w:hAnsi="Times New Roman"/>
          <w:kern w:val="0"/>
          <w:sz w:val="24"/>
          <w:szCs w:val="24"/>
        </w:rPr>
        <w:t xml:space="preserve">, a leader in the field of plant communication research, wrote in </w:t>
      </w:r>
      <w:r w:rsidRPr="00985103">
        <w:rPr>
          <w:rFonts w:ascii="Times New Roman" w:hAnsi="Times New Roman"/>
          <w:kern w:val="0"/>
          <w:sz w:val="24"/>
          <w:szCs w:val="24"/>
        </w:rPr>
        <w:t>a comprehensive literature review</w:t>
      </w:r>
      <w:r>
        <w:rPr>
          <w:rFonts w:ascii="Times New Roman" w:hAnsi="Times New Roman"/>
          <w:kern w:val="0"/>
          <w:sz w:val="24"/>
          <w:szCs w:val="24"/>
        </w:rPr>
        <w:t xml:space="preserve"> in 2008. </w:t>
      </w:r>
      <w:r w:rsidRPr="00985103">
        <w:rPr>
          <w:rFonts w:ascii="Times New Roman" w:hAnsi="Times New Roman"/>
          <w:kern w:val="0"/>
          <w:sz w:val="24"/>
          <w:szCs w:val="24"/>
        </w:rPr>
        <w:t xml:space="preserve">His </w:t>
      </w:r>
      <w:r>
        <w:rPr>
          <w:rFonts w:ascii="Times New Roman" w:hAnsi="Times New Roman"/>
          <w:kern w:val="0"/>
          <w:sz w:val="24"/>
          <w:szCs w:val="24"/>
        </w:rPr>
        <w:t xml:space="preserve">philosophical position </w:t>
      </w:r>
      <w:r w:rsidRPr="00985103">
        <w:rPr>
          <w:rFonts w:ascii="Times New Roman" w:hAnsi="Times New Roman"/>
          <w:kern w:val="0"/>
          <w:sz w:val="24"/>
          <w:szCs w:val="24"/>
        </w:rPr>
        <w:t xml:space="preserve">is </w:t>
      </w:r>
      <w:r>
        <w:rPr>
          <w:rFonts w:ascii="Times New Roman" w:hAnsi="Times New Roman"/>
          <w:kern w:val="0"/>
          <w:sz w:val="24"/>
          <w:szCs w:val="24"/>
        </w:rPr>
        <w:t xml:space="preserve">that it is both </w:t>
      </w:r>
      <w:r w:rsidRPr="00985103">
        <w:rPr>
          <w:rFonts w:ascii="Times New Roman" w:hAnsi="Times New Roman"/>
          <w:kern w:val="0"/>
          <w:sz w:val="24"/>
          <w:szCs w:val="24"/>
        </w:rPr>
        <w:t>empirically and conceptually incorrect</w:t>
      </w:r>
      <w:r w:rsidRPr="00985103">
        <w:rPr>
          <w:rFonts w:ascii="Times New Roman" w:hAnsi="Times New Roman"/>
          <w:sz w:val="24"/>
          <w:szCs w:val="24"/>
        </w:rPr>
        <w:t xml:space="preserve"> to say plants </w:t>
      </w:r>
      <w:r>
        <w:rPr>
          <w:rFonts w:ascii="Times New Roman" w:hAnsi="Times New Roman"/>
          <w:sz w:val="24"/>
          <w:szCs w:val="24"/>
        </w:rPr>
        <w:t>“react” whereas animals “behave.</w:t>
      </w:r>
      <w:r w:rsidRPr="00985103">
        <w:rPr>
          <w:rFonts w:ascii="Times New Roman" w:hAnsi="Times New Roman"/>
          <w:sz w:val="24"/>
          <w:szCs w:val="24"/>
        </w:rPr>
        <w:t xml:space="preserve">” </w:t>
      </w:r>
      <w:r>
        <w:rPr>
          <w:rFonts w:ascii="Times New Roman" w:hAnsi="Times New Roman"/>
          <w:sz w:val="24"/>
          <w:szCs w:val="24"/>
        </w:rPr>
        <w:t xml:space="preserve">That, like humans, animals “behave” and do not simply “react” is, as we know, one of the key axes of extension that animal behaviour science has pursued in the past 30 years. </w:t>
      </w:r>
      <w:r w:rsidRPr="00985103">
        <w:rPr>
          <w:rFonts w:ascii="Times New Roman" w:hAnsi="Times New Roman"/>
          <w:sz w:val="24"/>
          <w:szCs w:val="24"/>
        </w:rPr>
        <w:t xml:space="preserve">This is what </w:t>
      </w:r>
      <w:r>
        <w:rPr>
          <w:rFonts w:ascii="Times New Roman" w:hAnsi="Times New Roman"/>
          <w:sz w:val="24"/>
          <w:szCs w:val="24"/>
        </w:rPr>
        <w:t>Karban</w:t>
      </w:r>
      <w:r w:rsidRPr="00985103">
        <w:rPr>
          <w:rFonts w:ascii="Times New Roman" w:hAnsi="Times New Roman"/>
          <w:sz w:val="24"/>
          <w:szCs w:val="24"/>
        </w:rPr>
        <w:t xml:space="preserve"> writes in support of </w:t>
      </w:r>
      <w:r>
        <w:rPr>
          <w:rFonts w:ascii="Times New Roman" w:hAnsi="Times New Roman"/>
          <w:sz w:val="24"/>
          <w:szCs w:val="24"/>
        </w:rPr>
        <w:t>a further correction and extension of that concept, to plants</w:t>
      </w:r>
      <w:r w:rsidRPr="00985103">
        <w:rPr>
          <w:rFonts w:ascii="Times New Roman" w:hAnsi="Times New Roman"/>
          <w:sz w:val="24"/>
          <w:szCs w:val="24"/>
        </w:rPr>
        <w:t>:</w:t>
      </w:r>
      <w:r w:rsidRPr="00985103">
        <w:rPr>
          <w:rFonts w:ascii="Times New Roman" w:hAnsi="Times New Roman"/>
          <w:kern w:val="0"/>
          <w:sz w:val="24"/>
          <w:szCs w:val="24"/>
        </w:rPr>
        <w:t xml:space="preserve">  </w:t>
      </w:r>
    </w:p>
    <w:p w:rsidR="002D463E" w:rsidRDefault="002D463E" w:rsidP="00A30E4F">
      <w:pPr>
        <w:pStyle w:val="InsideAddress"/>
        <w:spacing w:line="360" w:lineRule="auto"/>
        <w:ind w:left="737" w:right="737"/>
        <w:rPr>
          <w:rFonts w:ascii="Times New Roman" w:hAnsi="Times New Roman"/>
          <w:kern w:val="0"/>
          <w:sz w:val="24"/>
          <w:szCs w:val="24"/>
        </w:rPr>
      </w:pPr>
      <w:r w:rsidRPr="00985103">
        <w:rPr>
          <w:rFonts w:ascii="Times New Roman" w:hAnsi="Times New Roman"/>
          <w:kern w:val="0"/>
          <w:sz w:val="24"/>
          <w:szCs w:val="24"/>
        </w:rPr>
        <w:t xml:space="preserve">Plant behaviours are defined as rapid morphological or physiological responses to events, relative to the lifetime of an individual. Since </w:t>
      </w:r>
      <w:smartTag w:uri="urn:schemas-microsoft-com:office:smarttags" w:element="place">
        <w:smartTag w:uri="urn:schemas-microsoft-com:office:smarttags" w:element="City">
          <w:r w:rsidRPr="00985103">
            <w:rPr>
              <w:rFonts w:ascii="Times New Roman" w:hAnsi="Times New Roman"/>
              <w:kern w:val="0"/>
              <w:sz w:val="24"/>
              <w:szCs w:val="24"/>
            </w:rPr>
            <w:t>Darwin</w:t>
          </w:r>
        </w:smartTag>
      </w:smartTag>
      <w:r w:rsidRPr="00985103">
        <w:rPr>
          <w:rFonts w:ascii="Times New Roman" w:hAnsi="Times New Roman"/>
          <w:kern w:val="0"/>
          <w:sz w:val="24"/>
          <w:szCs w:val="24"/>
        </w:rPr>
        <w:t>, biologists have been aware that plants behave but it has been an underappreciated phenomenon. The best studied plant behaviours involve foraging for light, nutrients, and water by placing organs where they can most efficiently harvest these resources. Plants also adjust many reproductive and defensive traits in response to environmental heterogeneity in space and time…Plant behaviours have been characterized as simpler than those of animals. Recent findings challenge this notion by revealing high levels of sophistication previously thought to be within the sole domain of animal behaviour.</w:t>
      </w:r>
      <w:r>
        <w:rPr>
          <w:rFonts w:ascii="Times New Roman" w:hAnsi="Times New Roman"/>
          <w:kern w:val="0"/>
          <w:sz w:val="24"/>
          <w:szCs w:val="24"/>
        </w:rPr>
        <w:t xml:space="preserve"> (2009: 727)</w:t>
      </w:r>
    </w:p>
    <w:p w:rsidR="002D463E" w:rsidRPr="00985103" w:rsidRDefault="002D463E" w:rsidP="002D463E">
      <w:pPr>
        <w:pStyle w:val="InsideAddress"/>
        <w:spacing w:line="360" w:lineRule="auto"/>
        <w:ind w:left="720"/>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sz w:val="24"/>
          <w:szCs w:val="24"/>
        </w:rPr>
      </w:pPr>
      <w:r w:rsidRPr="00985103">
        <w:rPr>
          <w:rFonts w:ascii="Times New Roman" w:hAnsi="Times New Roman"/>
          <w:sz w:val="24"/>
          <w:szCs w:val="24"/>
        </w:rPr>
        <w:t xml:space="preserve">There are other </w:t>
      </w:r>
      <w:r>
        <w:rPr>
          <w:rFonts w:ascii="Times New Roman" w:hAnsi="Times New Roman"/>
          <w:sz w:val="24"/>
          <w:szCs w:val="24"/>
        </w:rPr>
        <w:t>forays of this kind (Hall 2009; 2011; Stone 1974, 1985). While part of me applauds these efforts and takes a great interest in the power of the data and the arguments being launched, another part of me recalls the gestures I made above against extensionist efforts. Recalling those gestures, w</w:t>
      </w:r>
      <w:r w:rsidRPr="00985103">
        <w:rPr>
          <w:rFonts w:ascii="Times New Roman" w:hAnsi="Times New Roman"/>
          <w:sz w:val="24"/>
          <w:szCs w:val="24"/>
        </w:rPr>
        <w:t xml:space="preserve">e already know that the project of bringing plant life into the existing philosophical conversation is exactly that: a project of engaging philosophy on its classical terms and subjecting “the plant” </w:t>
      </w:r>
      <w:r w:rsidRPr="00985103">
        <w:rPr>
          <w:rFonts w:ascii="Times New Roman" w:hAnsi="Times New Roman"/>
          <w:i/>
          <w:sz w:val="24"/>
          <w:szCs w:val="24"/>
        </w:rPr>
        <w:t>to</w:t>
      </w:r>
      <w:r>
        <w:rPr>
          <w:rFonts w:ascii="Times New Roman" w:hAnsi="Times New Roman"/>
          <w:sz w:val="24"/>
          <w:szCs w:val="24"/>
        </w:rPr>
        <w:t xml:space="preserve"> those terms—</w:t>
      </w:r>
      <w:r w:rsidRPr="00985103">
        <w:rPr>
          <w:rFonts w:ascii="Times New Roman" w:hAnsi="Times New Roman"/>
          <w:sz w:val="24"/>
          <w:szCs w:val="24"/>
        </w:rPr>
        <w:t>terms of resemblance, difference as degrees from similarity of function, relevant functions and their r</w:t>
      </w:r>
      <w:r>
        <w:rPr>
          <w:rFonts w:ascii="Times New Roman" w:hAnsi="Times New Roman"/>
          <w:sz w:val="24"/>
          <w:szCs w:val="24"/>
        </w:rPr>
        <w:t>elative value anchored by “the human”</w:t>
      </w:r>
      <w:r w:rsidRPr="00985103">
        <w:rPr>
          <w:rFonts w:ascii="Times New Roman" w:hAnsi="Times New Roman"/>
          <w:sz w:val="24"/>
          <w:szCs w:val="24"/>
        </w:rPr>
        <w:t xml:space="preserve"> </w:t>
      </w:r>
      <w:r w:rsidRPr="00985103">
        <w:rPr>
          <w:rFonts w:ascii="Times New Roman" w:hAnsi="Times New Roman"/>
          <w:i/>
          <w:sz w:val="24"/>
          <w:szCs w:val="24"/>
        </w:rPr>
        <w:t xml:space="preserve">and </w:t>
      </w:r>
      <w:r w:rsidRPr="00985103">
        <w:rPr>
          <w:rFonts w:ascii="Times New Roman" w:hAnsi="Times New Roman"/>
          <w:sz w:val="24"/>
          <w:szCs w:val="24"/>
        </w:rPr>
        <w:t xml:space="preserve">of hoping, as </w:t>
      </w:r>
      <w:r>
        <w:rPr>
          <w:rFonts w:ascii="Times New Roman" w:hAnsi="Times New Roman"/>
          <w:sz w:val="24"/>
          <w:szCs w:val="24"/>
        </w:rPr>
        <w:t>wa</w:t>
      </w:r>
      <w:r w:rsidRPr="00985103">
        <w:rPr>
          <w:rFonts w:ascii="Times New Roman" w:hAnsi="Times New Roman"/>
          <w:sz w:val="24"/>
          <w:szCs w:val="24"/>
        </w:rPr>
        <w:t xml:space="preserve">s the case with the animal, to find a common ground </w:t>
      </w:r>
      <w:r>
        <w:rPr>
          <w:rFonts w:ascii="Times New Roman" w:hAnsi="Times New Roman"/>
          <w:sz w:val="24"/>
          <w:szCs w:val="24"/>
        </w:rPr>
        <w:t xml:space="preserve">and a “common logic </w:t>
      </w:r>
      <w:r w:rsidRPr="00985103">
        <w:rPr>
          <w:rFonts w:ascii="Times New Roman" w:hAnsi="Times New Roman"/>
          <w:sz w:val="24"/>
          <w:szCs w:val="24"/>
        </w:rPr>
        <w:t>between the</w:t>
      </w:r>
      <w:r>
        <w:rPr>
          <w:rFonts w:ascii="Times New Roman" w:hAnsi="Times New Roman"/>
          <w:sz w:val="24"/>
          <w:szCs w:val="24"/>
        </w:rPr>
        <w:t>se two</w:t>
      </w:r>
      <w:r w:rsidRPr="00985103">
        <w:rPr>
          <w:rFonts w:ascii="Times New Roman" w:hAnsi="Times New Roman"/>
          <w:sz w:val="24"/>
          <w:szCs w:val="24"/>
        </w:rPr>
        <w:t xml:space="preserve"> kingdoms</w:t>
      </w:r>
      <w:r>
        <w:rPr>
          <w:rFonts w:ascii="Times New Roman" w:hAnsi="Times New Roman"/>
          <w:sz w:val="24"/>
          <w:szCs w:val="24"/>
        </w:rPr>
        <w:t xml:space="preserve">” </w:t>
      </w:r>
      <w:r w:rsidRPr="00985103">
        <w:rPr>
          <w:rFonts w:ascii="Times New Roman" w:hAnsi="Times New Roman"/>
          <w:sz w:val="24"/>
          <w:szCs w:val="24"/>
        </w:rPr>
        <w:t xml:space="preserve">so that plants, now, too, can be </w:t>
      </w:r>
      <w:r w:rsidRPr="00985103">
        <w:rPr>
          <w:rFonts w:ascii="Times New Roman" w:hAnsi="Times New Roman"/>
          <w:i/>
          <w:sz w:val="24"/>
          <w:szCs w:val="24"/>
        </w:rPr>
        <w:t>taken seriously</w:t>
      </w:r>
      <w:r>
        <w:rPr>
          <w:rFonts w:ascii="Times New Roman" w:hAnsi="Times New Roman"/>
          <w:i/>
          <w:sz w:val="24"/>
          <w:szCs w:val="24"/>
        </w:rPr>
        <w:t xml:space="preserve"> </w:t>
      </w:r>
      <w:r>
        <w:rPr>
          <w:rFonts w:ascii="Times New Roman" w:hAnsi="Times New Roman"/>
          <w:sz w:val="24"/>
          <w:szCs w:val="24"/>
        </w:rPr>
        <w:t>(McCourt, 2005)</w:t>
      </w:r>
      <w:r w:rsidRPr="00985103">
        <w:rPr>
          <w:rFonts w:ascii="Times New Roman" w:hAnsi="Times New Roman"/>
          <w:i/>
          <w:sz w:val="24"/>
          <w:szCs w:val="24"/>
        </w:rPr>
        <w:t>.</w:t>
      </w:r>
      <w:r w:rsidRPr="00985103">
        <w:rPr>
          <w:rFonts w:ascii="Times New Roman" w:hAnsi="Times New Roman"/>
          <w:sz w:val="24"/>
          <w:szCs w:val="24"/>
        </w:rPr>
        <w:t xml:space="preserve">  </w:t>
      </w:r>
      <w:r>
        <w:rPr>
          <w:rFonts w:ascii="Times New Roman" w:hAnsi="Times New Roman"/>
          <w:sz w:val="24"/>
          <w:szCs w:val="24"/>
        </w:rPr>
        <w:t>And w</w:t>
      </w:r>
      <w:r w:rsidRPr="00985103">
        <w:rPr>
          <w:rFonts w:ascii="Times New Roman" w:hAnsi="Times New Roman"/>
          <w:sz w:val="24"/>
          <w:szCs w:val="24"/>
        </w:rPr>
        <w:t>e already know with a high degree of confidence what the conceptual and material outcomes are of this line of thinking</w:t>
      </w:r>
      <w:r>
        <w:rPr>
          <w:rFonts w:ascii="Times New Roman" w:hAnsi="Times New Roman"/>
          <w:sz w:val="24"/>
          <w:szCs w:val="24"/>
        </w:rPr>
        <w:t xml:space="preserve"> will be</w:t>
      </w:r>
      <w:r w:rsidRPr="00985103">
        <w:rPr>
          <w:rFonts w:ascii="Times New Roman" w:hAnsi="Times New Roman"/>
          <w:sz w:val="24"/>
          <w:szCs w:val="24"/>
        </w:rPr>
        <w:t xml:space="preserve">: for the status of plants </w:t>
      </w:r>
      <w:r>
        <w:rPr>
          <w:rFonts w:ascii="Times New Roman" w:hAnsi="Times New Roman"/>
          <w:sz w:val="24"/>
          <w:szCs w:val="24"/>
        </w:rPr>
        <w:t xml:space="preserve">or other features of the natural world, </w:t>
      </w:r>
      <w:r w:rsidRPr="00985103">
        <w:rPr>
          <w:rFonts w:ascii="Times New Roman" w:hAnsi="Times New Roman"/>
          <w:sz w:val="24"/>
          <w:szCs w:val="24"/>
        </w:rPr>
        <w:t xml:space="preserve">in thought and in action (third place), for the status of </w:t>
      </w:r>
      <w:r w:rsidRPr="00C566C8">
        <w:rPr>
          <w:rFonts w:ascii="Times New Roman" w:hAnsi="Times New Roman"/>
          <w:i/>
          <w:sz w:val="24"/>
          <w:szCs w:val="24"/>
        </w:rPr>
        <w:t>the human</w:t>
      </w:r>
      <w:r>
        <w:rPr>
          <w:rFonts w:ascii="Times New Roman" w:hAnsi="Times New Roman"/>
          <w:sz w:val="24"/>
          <w:szCs w:val="24"/>
        </w:rPr>
        <w:t xml:space="preserve"> or </w:t>
      </w:r>
      <w:r w:rsidRPr="00C566C8">
        <w:rPr>
          <w:rFonts w:ascii="Times New Roman" w:hAnsi="Times New Roman"/>
          <w:i/>
          <w:sz w:val="24"/>
          <w:szCs w:val="24"/>
        </w:rPr>
        <w:t>person</w:t>
      </w:r>
      <w:r w:rsidRPr="00985103">
        <w:rPr>
          <w:rFonts w:ascii="Times New Roman" w:hAnsi="Times New Roman"/>
          <w:sz w:val="24"/>
          <w:szCs w:val="24"/>
        </w:rPr>
        <w:t xml:space="preserve"> by comparison</w:t>
      </w:r>
      <w:r>
        <w:rPr>
          <w:rFonts w:ascii="Times New Roman" w:hAnsi="Times New Roman"/>
          <w:sz w:val="24"/>
          <w:szCs w:val="24"/>
        </w:rPr>
        <w:t xml:space="preserve"> (victorious</w:t>
      </w:r>
      <w:r w:rsidRPr="00985103">
        <w:rPr>
          <w:rFonts w:ascii="Times New Roman" w:hAnsi="Times New Roman"/>
          <w:sz w:val="24"/>
          <w:szCs w:val="24"/>
        </w:rPr>
        <w:t xml:space="preserve">) </w:t>
      </w:r>
      <w:r w:rsidRPr="00985103">
        <w:rPr>
          <w:rFonts w:ascii="Times New Roman" w:hAnsi="Times New Roman"/>
          <w:i/>
          <w:sz w:val="24"/>
          <w:szCs w:val="24"/>
        </w:rPr>
        <w:t>and</w:t>
      </w:r>
      <w:r w:rsidRPr="00985103">
        <w:rPr>
          <w:rFonts w:ascii="Times New Roman" w:hAnsi="Times New Roman"/>
          <w:sz w:val="24"/>
          <w:szCs w:val="24"/>
        </w:rPr>
        <w:t xml:space="preserve"> for likelihood of the enriching of philosophy under the pressures of this herbivorous line of </w:t>
      </w:r>
      <w:r>
        <w:rPr>
          <w:rFonts w:ascii="Times New Roman" w:hAnsi="Times New Roman"/>
          <w:sz w:val="24"/>
          <w:szCs w:val="24"/>
        </w:rPr>
        <w:t>extension</w:t>
      </w:r>
      <w:r w:rsidRPr="00985103">
        <w:rPr>
          <w:rFonts w:ascii="Times New Roman" w:hAnsi="Times New Roman"/>
          <w:sz w:val="24"/>
          <w:szCs w:val="24"/>
        </w:rPr>
        <w:t xml:space="preserve"> (</w:t>
      </w:r>
      <w:r>
        <w:rPr>
          <w:rFonts w:ascii="Times New Roman" w:hAnsi="Times New Roman"/>
          <w:sz w:val="24"/>
          <w:szCs w:val="24"/>
        </w:rPr>
        <w:t>weak</w:t>
      </w:r>
      <w:r w:rsidRPr="00985103">
        <w:rPr>
          <w:rFonts w:ascii="Times New Roman" w:hAnsi="Times New Roman"/>
          <w:sz w:val="24"/>
          <w:szCs w:val="24"/>
        </w:rPr>
        <w:t xml:space="preserve">). </w:t>
      </w:r>
      <w:r w:rsidRPr="004B7CBD">
        <w:rPr>
          <w:rFonts w:ascii="Times New Roman" w:hAnsi="Times New Roman"/>
          <w:sz w:val="24"/>
          <w:szCs w:val="24"/>
        </w:rPr>
        <w:t xml:space="preserve">Since my overall concerns are </w:t>
      </w:r>
      <w:r w:rsidRPr="004B7CBD">
        <w:rPr>
          <w:rFonts w:ascii="Times New Roman" w:hAnsi="Times New Roman"/>
          <w:i/>
          <w:sz w:val="24"/>
          <w:szCs w:val="24"/>
        </w:rPr>
        <w:t>ecophilosophical</w:t>
      </w:r>
      <w:r w:rsidRPr="004B7CBD">
        <w:rPr>
          <w:rFonts w:ascii="Times New Roman" w:hAnsi="Times New Roman"/>
          <w:sz w:val="24"/>
          <w:szCs w:val="24"/>
        </w:rPr>
        <w:t>; that is a desire and a commitment to think and to exist beyond any particular kind of animal or thought or plant, to think and exist adequately (Spinoza, 2000) within the intactness, beauty and vitality of life, then we need to imagine another route for plant-thought.</w:t>
      </w:r>
      <w:r>
        <w:rPr>
          <w:rFonts w:ascii="Times New Roman" w:hAnsi="Times New Roman"/>
          <w:sz w:val="24"/>
          <w:szCs w:val="24"/>
        </w:rPr>
        <w:t xml:space="preserve"> </w:t>
      </w:r>
    </w:p>
    <w:p w:rsidR="002D463E" w:rsidRDefault="002D463E" w:rsidP="002D463E">
      <w:pPr>
        <w:pStyle w:val="InsideAddress"/>
        <w:spacing w:line="360" w:lineRule="auto"/>
        <w:rPr>
          <w:rFonts w:ascii="Times New Roman" w:hAnsi="Times New Roman"/>
          <w:sz w:val="24"/>
          <w:szCs w:val="24"/>
        </w:rPr>
      </w:pPr>
    </w:p>
    <w:p w:rsidR="002D463E" w:rsidRPr="00FC5F2D" w:rsidRDefault="002D463E" w:rsidP="00E35253">
      <w:pPr>
        <w:pStyle w:val="Heading3"/>
      </w:pPr>
      <w:r w:rsidRPr="00FC5F2D">
        <w:t xml:space="preserve">2. Becoming, and Becoming-Plant? </w:t>
      </w:r>
    </w:p>
    <w:p w:rsidR="002D463E" w:rsidRPr="002416AD" w:rsidRDefault="002D463E" w:rsidP="002D463E">
      <w:pPr>
        <w:pStyle w:val="InsideAddress"/>
        <w:spacing w:line="360" w:lineRule="auto"/>
        <w:rPr>
          <w:rFonts w:ascii="Times New Roman" w:hAnsi="Times New Roman"/>
          <w:sz w:val="24"/>
          <w:szCs w:val="24"/>
        </w:rPr>
      </w:pPr>
    </w:p>
    <w:p w:rsidR="002D463E"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Whence might another route lie? </w:t>
      </w:r>
      <w:r w:rsidRPr="00985103">
        <w:rPr>
          <w:rFonts w:ascii="Times New Roman" w:hAnsi="Times New Roman"/>
          <w:kern w:val="0"/>
          <w:sz w:val="24"/>
          <w:szCs w:val="24"/>
        </w:rPr>
        <w:t xml:space="preserve">In principle, we </w:t>
      </w:r>
      <w:r>
        <w:rPr>
          <w:rFonts w:ascii="Times New Roman" w:hAnsi="Times New Roman"/>
          <w:kern w:val="0"/>
          <w:sz w:val="24"/>
          <w:szCs w:val="24"/>
        </w:rPr>
        <w:t xml:space="preserve">would </w:t>
      </w:r>
      <w:r w:rsidRPr="00985103">
        <w:rPr>
          <w:rFonts w:ascii="Times New Roman" w:hAnsi="Times New Roman"/>
          <w:kern w:val="0"/>
          <w:sz w:val="24"/>
          <w:szCs w:val="24"/>
        </w:rPr>
        <w:t>have to aggressively bracket the question of Being and try to orient</w:t>
      </w:r>
      <w:r>
        <w:rPr>
          <w:rFonts w:ascii="Times New Roman" w:hAnsi="Times New Roman"/>
          <w:kern w:val="0"/>
          <w:sz w:val="24"/>
          <w:szCs w:val="24"/>
        </w:rPr>
        <w:t xml:space="preserve"> toward </w:t>
      </w:r>
      <w:r w:rsidRPr="00985103">
        <w:rPr>
          <w:rFonts w:ascii="Times New Roman" w:hAnsi="Times New Roman"/>
          <w:kern w:val="0"/>
          <w:sz w:val="24"/>
          <w:szCs w:val="24"/>
        </w:rPr>
        <w:t xml:space="preserve">concepts </w:t>
      </w:r>
      <w:r>
        <w:rPr>
          <w:rFonts w:ascii="Times New Roman" w:hAnsi="Times New Roman"/>
          <w:kern w:val="0"/>
          <w:sz w:val="24"/>
          <w:szCs w:val="24"/>
        </w:rPr>
        <w:t xml:space="preserve">like </w:t>
      </w:r>
      <w:r w:rsidRPr="00414018">
        <w:rPr>
          <w:rFonts w:ascii="Times New Roman" w:hAnsi="Times New Roman"/>
          <w:i/>
          <w:kern w:val="0"/>
          <w:sz w:val="24"/>
          <w:szCs w:val="24"/>
        </w:rPr>
        <w:t>Becoming</w:t>
      </w:r>
      <w:r w:rsidRPr="00985103">
        <w:rPr>
          <w:rFonts w:ascii="Times New Roman" w:hAnsi="Times New Roman"/>
          <w:kern w:val="0"/>
          <w:sz w:val="24"/>
          <w:szCs w:val="24"/>
        </w:rPr>
        <w:t xml:space="preserve"> and </w:t>
      </w:r>
      <w:r w:rsidRPr="00414018">
        <w:rPr>
          <w:rFonts w:ascii="Times New Roman" w:hAnsi="Times New Roman"/>
          <w:i/>
          <w:kern w:val="0"/>
          <w:sz w:val="24"/>
          <w:szCs w:val="24"/>
        </w:rPr>
        <w:t>Unbecoming</w:t>
      </w:r>
      <w:r w:rsidRPr="00985103">
        <w:rPr>
          <w:rFonts w:ascii="Times New Roman" w:hAnsi="Times New Roman"/>
          <w:kern w:val="0"/>
          <w:sz w:val="24"/>
          <w:szCs w:val="24"/>
        </w:rPr>
        <w:t xml:space="preserve">. </w:t>
      </w:r>
    </w:p>
    <w:p w:rsidR="002D463E" w:rsidRDefault="002D463E" w:rsidP="002D463E">
      <w:pPr>
        <w:pStyle w:val="InsideAddress"/>
        <w:spacing w:line="360" w:lineRule="auto"/>
        <w:rPr>
          <w:rFonts w:ascii="Times New Roman" w:hAnsi="Times New Roman"/>
          <w:kern w:val="0"/>
          <w:sz w:val="24"/>
          <w:szCs w:val="24"/>
        </w:rPr>
      </w:pPr>
    </w:p>
    <w:p w:rsidR="002D463E" w:rsidRPr="00985103"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S</w:t>
      </w:r>
      <w:r w:rsidRPr="00985103">
        <w:rPr>
          <w:rFonts w:ascii="Times New Roman" w:hAnsi="Times New Roman"/>
          <w:kern w:val="0"/>
          <w:sz w:val="24"/>
          <w:szCs w:val="24"/>
        </w:rPr>
        <w:t xml:space="preserve">erendipitously, one discovers the concept of </w:t>
      </w:r>
      <w:r w:rsidRPr="00985103">
        <w:rPr>
          <w:rFonts w:ascii="Times New Roman" w:hAnsi="Times New Roman"/>
          <w:i/>
          <w:kern w:val="0"/>
          <w:sz w:val="24"/>
          <w:szCs w:val="24"/>
        </w:rPr>
        <w:t>becoming-plant</w:t>
      </w:r>
      <w:r w:rsidRPr="00985103">
        <w:rPr>
          <w:rFonts w:ascii="Times New Roman" w:hAnsi="Times New Roman"/>
          <w:kern w:val="0"/>
          <w:sz w:val="24"/>
          <w:szCs w:val="24"/>
        </w:rPr>
        <w:t xml:space="preserve"> in Deleuze and Guattari’s work, </w:t>
      </w:r>
      <w:r>
        <w:rPr>
          <w:rFonts w:ascii="Times New Roman" w:hAnsi="Times New Roman"/>
          <w:kern w:val="0"/>
          <w:sz w:val="24"/>
          <w:szCs w:val="24"/>
        </w:rPr>
        <w:t>and finds it</w:t>
      </w:r>
      <w:r w:rsidRPr="00985103">
        <w:rPr>
          <w:rFonts w:ascii="Times New Roman" w:hAnsi="Times New Roman"/>
          <w:kern w:val="0"/>
          <w:sz w:val="24"/>
          <w:szCs w:val="24"/>
        </w:rPr>
        <w:t xml:space="preserve"> vastly underthought</w:t>
      </w:r>
      <w:r>
        <w:rPr>
          <w:rFonts w:ascii="Times New Roman" w:hAnsi="Times New Roman"/>
          <w:kern w:val="0"/>
          <w:sz w:val="24"/>
          <w:szCs w:val="24"/>
        </w:rPr>
        <w:t xml:space="preserve"> in Deleuzian studies. </w:t>
      </w:r>
      <w:r w:rsidRPr="00985103">
        <w:rPr>
          <w:rFonts w:ascii="Times New Roman" w:hAnsi="Times New Roman"/>
          <w:kern w:val="0"/>
          <w:sz w:val="24"/>
          <w:szCs w:val="24"/>
        </w:rPr>
        <w:t xml:space="preserve">Crucially, the concept isn’t </w:t>
      </w:r>
      <w:r w:rsidRPr="00985103">
        <w:rPr>
          <w:rFonts w:ascii="Times New Roman" w:hAnsi="Times New Roman"/>
          <w:i/>
          <w:kern w:val="0"/>
          <w:sz w:val="24"/>
          <w:szCs w:val="24"/>
        </w:rPr>
        <w:t xml:space="preserve">about plants </w:t>
      </w:r>
      <w:r w:rsidRPr="00985103">
        <w:rPr>
          <w:rFonts w:ascii="Times New Roman" w:hAnsi="Times New Roman"/>
          <w:kern w:val="0"/>
          <w:sz w:val="24"/>
          <w:szCs w:val="24"/>
        </w:rPr>
        <w:t xml:space="preserve">but about becoming. Let’s briefly </w:t>
      </w:r>
      <w:r>
        <w:rPr>
          <w:rFonts w:ascii="Times New Roman" w:hAnsi="Times New Roman"/>
          <w:kern w:val="0"/>
          <w:sz w:val="24"/>
          <w:szCs w:val="24"/>
        </w:rPr>
        <w:t>outline</w:t>
      </w:r>
      <w:r w:rsidRPr="00985103">
        <w:rPr>
          <w:rFonts w:ascii="Times New Roman" w:hAnsi="Times New Roman"/>
          <w:kern w:val="0"/>
          <w:sz w:val="24"/>
          <w:szCs w:val="24"/>
        </w:rPr>
        <w:t xml:space="preserve"> what </w:t>
      </w:r>
      <w:r>
        <w:rPr>
          <w:rFonts w:ascii="Times New Roman" w:hAnsi="Times New Roman"/>
          <w:kern w:val="0"/>
          <w:sz w:val="24"/>
          <w:szCs w:val="24"/>
        </w:rPr>
        <w:t>Deleuze and Guattari</w:t>
      </w:r>
      <w:r w:rsidRPr="00985103">
        <w:rPr>
          <w:rFonts w:ascii="Times New Roman" w:hAnsi="Times New Roman"/>
          <w:kern w:val="0"/>
          <w:sz w:val="24"/>
          <w:szCs w:val="24"/>
        </w:rPr>
        <w:t xml:space="preserve"> mean by</w:t>
      </w:r>
      <w:r>
        <w:rPr>
          <w:rFonts w:ascii="Times New Roman" w:hAnsi="Times New Roman"/>
          <w:kern w:val="0"/>
          <w:sz w:val="24"/>
          <w:szCs w:val="24"/>
        </w:rPr>
        <w:t xml:space="preserve"> the concept</w:t>
      </w:r>
      <w:r w:rsidRPr="00985103">
        <w:rPr>
          <w:rFonts w:ascii="Times New Roman" w:hAnsi="Times New Roman"/>
          <w:kern w:val="0"/>
          <w:sz w:val="24"/>
          <w:szCs w:val="24"/>
        </w:rPr>
        <w:t xml:space="preserve"> of becoming</w:t>
      </w:r>
      <w:r>
        <w:rPr>
          <w:rFonts w:ascii="Times New Roman" w:hAnsi="Times New Roman"/>
          <w:kern w:val="0"/>
          <w:sz w:val="24"/>
          <w:szCs w:val="24"/>
        </w:rPr>
        <w:t xml:space="preserve">. </w:t>
      </w:r>
      <w:r w:rsidRPr="00985103">
        <w:rPr>
          <w:rFonts w:ascii="Times New Roman" w:hAnsi="Times New Roman"/>
          <w:i/>
          <w:kern w:val="0"/>
          <w:sz w:val="24"/>
          <w:szCs w:val="24"/>
        </w:rPr>
        <w:t xml:space="preserve"> </w:t>
      </w:r>
    </w:p>
    <w:p w:rsidR="002D463E" w:rsidRPr="00985103" w:rsidRDefault="002D463E" w:rsidP="002D463E">
      <w:pPr>
        <w:pStyle w:val="InsideAddress"/>
        <w:spacing w:line="360" w:lineRule="auto"/>
        <w:rPr>
          <w:rFonts w:ascii="Times New Roman" w:hAnsi="Times New Roman"/>
          <w:sz w:val="24"/>
          <w:szCs w:val="24"/>
        </w:rPr>
      </w:pPr>
    </w:p>
    <w:p w:rsidR="002D463E" w:rsidRDefault="002D463E" w:rsidP="002D463E">
      <w:pPr>
        <w:pStyle w:val="InsideAddress"/>
        <w:spacing w:line="360" w:lineRule="auto"/>
        <w:rPr>
          <w:rFonts w:ascii="Times New Roman" w:hAnsi="Times New Roman"/>
          <w:sz w:val="24"/>
          <w:szCs w:val="24"/>
        </w:rPr>
      </w:pPr>
      <w:r>
        <w:rPr>
          <w:rFonts w:ascii="Times New Roman" w:hAnsi="Times New Roman"/>
          <w:sz w:val="24"/>
          <w:szCs w:val="24"/>
        </w:rPr>
        <w:t xml:space="preserve">Two very helpful and </w:t>
      </w:r>
      <w:r w:rsidRPr="00985103">
        <w:rPr>
          <w:rFonts w:ascii="Times New Roman" w:hAnsi="Times New Roman"/>
          <w:sz w:val="24"/>
          <w:szCs w:val="24"/>
        </w:rPr>
        <w:t>concise statement</w:t>
      </w:r>
      <w:r>
        <w:rPr>
          <w:rFonts w:ascii="Times New Roman" w:hAnsi="Times New Roman"/>
          <w:sz w:val="24"/>
          <w:szCs w:val="24"/>
        </w:rPr>
        <w:t>s</w:t>
      </w:r>
      <w:r w:rsidRPr="00985103">
        <w:rPr>
          <w:rFonts w:ascii="Times New Roman" w:hAnsi="Times New Roman"/>
          <w:sz w:val="24"/>
          <w:szCs w:val="24"/>
        </w:rPr>
        <w:t xml:space="preserve"> they make </w:t>
      </w:r>
      <w:r>
        <w:rPr>
          <w:rFonts w:ascii="Times New Roman" w:hAnsi="Times New Roman"/>
          <w:sz w:val="24"/>
          <w:szCs w:val="24"/>
        </w:rPr>
        <w:t>are</w:t>
      </w:r>
      <w:r w:rsidRPr="00985103">
        <w:rPr>
          <w:rFonts w:ascii="Times New Roman" w:hAnsi="Times New Roman"/>
          <w:sz w:val="24"/>
          <w:szCs w:val="24"/>
        </w:rPr>
        <w:t xml:space="preserve"> that</w:t>
      </w:r>
      <w:r>
        <w:rPr>
          <w:rFonts w:ascii="Times New Roman" w:hAnsi="Times New Roman"/>
          <w:sz w:val="24"/>
          <w:szCs w:val="24"/>
        </w:rPr>
        <w:t>,</w:t>
      </w:r>
      <w:r w:rsidRPr="00985103">
        <w:rPr>
          <w:rFonts w:ascii="Times New Roman" w:hAnsi="Times New Roman"/>
          <w:sz w:val="24"/>
          <w:szCs w:val="24"/>
        </w:rPr>
        <w:t xml:space="preserve"> </w:t>
      </w:r>
      <w:r>
        <w:rPr>
          <w:rFonts w:ascii="Times New Roman" w:hAnsi="Times New Roman"/>
          <w:sz w:val="24"/>
          <w:szCs w:val="24"/>
        </w:rPr>
        <w:t xml:space="preserve">“becoming is a verb with a consistency all its own” &amp; </w:t>
      </w:r>
      <w:r w:rsidRPr="00985103">
        <w:rPr>
          <w:rFonts w:ascii="Times New Roman" w:hAnsi="Times New Roman"/>
          <w:sz w:val="24"/>
          <w:szCs w:val="24"/>
        </w:rPr>
        <w:t>“becomings are anothe</w:t>
      </w:r>
      <w:r>
        <w:rPr>
          <w:rFonts w:ascii="Times New Roman" w:hAnsi="Times New Roman"/>
          <w:sz w:val="24"/>
          <w:szCs w:val="24"/>
        </w:rPr>
        <w:t>r power</w:t>
      </w:r>
      <w:r w:rsidRPr="00985103">
        <w:rPr>
          <w:rFonts w:ascii="Times New Roman" w:hAnsi="Times New Roman"/>
          <w:sz w:val="24"/>
          <w:szCs w:val="24"/>
        </w:rPr>
        <w:t>”</w:t>
      </w:r>
      <w:r>
        <w:rPr>
          <w:rFonts w:ascii="Times New Roman" w:hAnsi="Times New Roman"/>
          <w:sz w:val="24"/>
          <w:szCs w:val="24"/>
        </w:rPr>
        <w:t xml:space="preserve"> (239).</w:t>
      </w:r>
      <w:r w:rsidRPr="00985103">
        <w:rPr>
          <w:rFonts w:ascii="Times New Roman" w:hAnsi="Times New Roman"/>
          <w:sz w:val="24"/>
          <w:szCs w:val="24"/>
        </w:rPr>
        <w:t xml:space="preserve">  A becoming is not a description of a</w:t>
      </w:r>
      <w:r>
        <w:rPr>
          <w:rFonts w:ascii="Times New Roman" w:hAnsi="Times New Roman"/>
          <w:sz w:val="24"/>
          <w:szCs w:val="24"/>
        </w:rPr>
        <w:t>n actual or ideal</w:t>
      </w:r>
      <w:r w:rsidRPr="00985103">
        <w:rPr>
          <w:rFonts w:ascii="Times New Roman" w:hAnsi="Times New Roman"/>
          <w:sz w:val="24"/>
          <w:szCs w:val="24"/>
        </w:rPr>
        <w:t xml:space="preserve"> property or feature of an entity</w:t>
      </w:r>
      <w:r>
        <w:rPr>
          <w:rFonts w:ascii="Times New Roman" w:hAnsi="Times New Roman"/>
          <w:sz w:val="24"/>
          <w:szCs w:val="24"/>
        </w:rPr>
        <w:t xml:space="preserve"> </w:t>
      </w:r>
      <w:r w:rsidRPr="00985103">
        <w:rPr>
          <w:rFonts w:ascii="Times New Roman" w:hAnsi="Times New Roman"/>
          <w:sz w:val="24"/>
          <w:szCs w:val="24"/>
        </w:rPr>
        <w:t xml:space="preserve"> so much as a description of an al</w:t>
      </w:r>
      <w:r>
        <w:rPr>
          <w:rFonts w:ascii="Times New Roman" w:hAnsi="Times New Roman"/>
          <w:sz w:val="24"/>
          <w:szCs w:val="24"/>
        </w:rPr>
        <w:t>tered, scalar intensification—</w:t>
      </w:r>
      <w:r w:rsidRPr="00985103">
        <w:rPr>
          <w:rFonts w:ascii="Times New Roman" w:hAnsi="Times New Roman"/>
          <w:sz w:val="24"/>
          <w:szCs w:val="24"/>
        </w:rPr>
        <w:t xml:space="preserve">the taking on of certain relations of movement and rest” enabled as it enters “a particular zone of </w:t>
      </w:r>
      <w:r w:rsidRPr="00985103">
        <w:rPr>
          <w:rFonts w:ascii="Times New Roman" w:hAnsi="Times New Roman"/>
          <w:i/>
          <w:sz w:val="24"/>
          <w:szCs w:val="24"/>
        </w:rPr>
        <w:t>proximity</w:t>
      </w:r>
      <w:r w:rsidRPr="00985103">
        <w:rPr>
          <w:rFonts w:ascii="Times New Roman" w:hAnsi="Times New Roman"/>
          <w:sz w:val="24"/>
          <w:szCs w:val="24"/>
        </w:rPr>
        <w:t xml:space="preserve">” (273) </w:t>
      </w:r>
      <w:r>
        <w:rPr>
          <w:rFonts w:ascii="Times New Roman" w:hAnsi="Times New Roman"/>
          <w:sz w:val="24"/>
          <w:szCs w:val="24"/>
        </w:rPr>
        <w:t xml:space="preserve">with another, </w:t>
      </w:r>
      <w:r w:rsidRPr="00985103">
        <w:rPr>
          <w:rFonts w:ascii="Times New Roman" w:hAnsi="Times New Roman"/>
          <w:sz w:val="24"/>
          <w:szCs w:val="24"/>
        </w:rPr>
        <w:t>i</w:t>
      </w:r>
      <w:r>
        <w:rPr>
          <w:rFonts w:ascii="Times New Roman" w:hAnsi="Times New Roman"/>
          <w:sz w:val="24"/>
          <w:szCs w:val="24"/>
        </w:rPr>
        <w:t xml:space="preserve">n a particular way. Crucially, </w:t>
      </w:r>
    </w:p>
    <w:p w:rsidR="002D463E" w:rsidRDefault="002D463E" w:rsidP="00A30E4F">
      <w:pPr>
        <w:pStyle w:val="InsideAddress"/>
        <w:spacing w:line="360" w:lineRule="auto"/>
        <w:ind w:left="720"/>
        <w:rPr>
          <w:rFonts w:ascii="Times New Roman" w:hAnsi="Times New Roman"/>
          <w:sz w:val="24"/>
          <w:szCs w:val="24"/>
        </w:rPr>
      </w:pPr>
      <w:r w:rsidRPr="00985103">
        <w:rPr>
          <w:rFonts w:ascii="Times New Roman" w:hAnsi="Times New Roman"/>
          <w:sz w:val="24"/>
          <w:szCs w:val="24"/>
        </w:rPr>
        <w:t>a becoming is neither one nor two, nor the relation of the two; it is the in-between…the block of becoming that unites the wasp and the orchid produces a shared deterritorialization: of the wasp, in that it becomes a liberated piece of the orchid’s reproductive system, but also of the orchid, in that it becomes the object of an orgasm in the wasp, also liberated fro</w:t>
      </w:r>
      <w:r>
        <w:rPr>
          <w:rFonts w:ascii="Times New Roman" w:hAnsi="Times New Roman"/>
          <w:sz w:val="24"/>
          <w:szCs w:val="24"/>
        </w:rPr>
        <w:t>m its own reproduction (</w:t>
      </w:r>
      <w:r w:rsidRPr="00985103">
        <w:rPr>
          <w:rFonts w:ascii="Times New Roman" w:hAnsi="Times New Roman"/>
          <w:sz w:val="24"/>
          <w:szCs w:val="24"/>
        </w:rPr>
        <w:t>293)</w:t>
      </w:r>
      <w:r>
        <w:rPr>
          <w:rFonts w:ascii="Times New Roman" w:hAnsi="Times New Roman"/>
          <w:sz w:val="24"/>
          <w:szCs w:val="24"/>
        </w:rPr>
        <w:t>.</w:t>
      </w:r>
      <w:r w:rsidRPr="00985103">
        <w:rPr>
          <w:rFonts w:ascii="Times New Roman" w:hAnsi="Times New Roman"/>
          <w:sz w:val="24"/>
          <w:szCs w:val="24"/>
        </w:rPr>
        <w:t xml:space="preserve"> </w:t>
      </w:r>
    </w:p>
    <w:p w:rsidR="002D463E" w:rsidRDefault="002D463E" w:rsidP="002D463E">
      <w:pPr>
        <w:pStyle w:val="InsideAddress"/>
        <w:spacing w:line="240" w:lineRule="auto"/>
        <w:ind w:left="720"/>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sidRPr="00985103">
        <w:rPr>
          <w:rFonts w:ascii="Times New Roman" w:hAnsi="Times New Roman"/>
          <w:i/>
          <w:sz w:val="24"/>
          <w:szCs w:val="24"/>
        </w:rPr>
        <w:t>Becoming</w:t>
      </w:r>
      <w:r w:rsidRPr="00985103">
        <w:rPr>
          <w:rFonts w:ascii="Times New Roman" w:hAnsi="Times New Roman"/>
          <w:sz w:val="24"/>
          <w:szCs w:val="24"/>
        </w:rPr>
        <w:t xml:space="preserve"> is the name for this provisional co-creative zone in which the “parties” and their “proper functions” are themselves effaced and augmented. </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sidRPr="00985103">
        <w:rPr>
          <w:rFonts w:ascii="Times New Roman" w:hAnsi="Times New Roman"/>
          <w:sz w:val="24"/>
          <w:szCs w:val="24"/>
        </w:rPr>
        <w:t>Deleuze and Guattari na</w:t>
      </w:r>
      <w:r>
        <w:rPr>
          <w:rFonts w:ascii="Times New Roman" w:hAnsi="Times New Roman"/>
          <w:sz w:val="24"/>
          <w:szCs w:val="24"/>
        </w:rPr>
        <w:t>me different kinds of becomings. What is involved in these different types</w:t>
      </w:r>
      <w:r w:rsidRPr="00985103">
        <w:rPr>
          <w:rFonts w:ascii="Times New Roman" w:hAnsi="Times New Roman"/>
          <w:sz w:val="24"/>
          <w:szCs w:val="24"/>
        </w:rPr>
        <w:t xml:space="preserve">? They tend to explain </w:t>
      </w:r>
      <w:r>
        <w:rPr>
          <w:rFonts w:ascii="Times New Roman" w:hAnsi="Times New Roman"/>
          <w:sz w:val="24"/>
          <w:szCs w:val="24"/>
        </w:rPr>
        <w:t>becoming in general t</w:t>
      </w:r>
      <w:r w:rsidRPr="00985103">
        <w:rPr>
          <w:rFonts w:ascii="Times New Roman" w:hAnsi="Times New Roman"/>
          <w:sz w:val="24"/>
          <w:szCs w:val="24"/>
        </w:rPr>
        <w:t>hrough the example of becoming-animal. Does it have anything to do with actual animals like North Atlantic Right Whales and Snakes? Are we to put on snouts and bark convincingly? No. Do we put on fin</w:t>
      </w:r>
      <w:r>
        <w:rPr>
          <w:rFonts w:ascii="Times New Roman" w:hAnsi="Times New Roman"/>
          <w:sz w:val="24"/>
          <w:szCs w:val="24"/>
        </w:rPr>
        <w:t>s and learn to free dive? Perhaps.</w:t>
      </w:r>
      <w:r w:rsidRPr="00985103">
        <w:rPr>
          <w:rFonts w:ascii="Times New Roman" w:hAnsi="Times New Roman"/>
          <w:sz w:val="24"/>
          <w:szCs w:val="24"/>
        </w:rPr>
        <w:t xml:space="preserve"> Whatever these becomings involve, according to Deleuze and Guattari, they do not involve or lead us back onto finding their proper relative morphological positions along the Great Chain of Being by way of likeness and unlikeness: “Do not look for a resemblance or analogy to the animal, for this is becoming-animal in action, the production of the molecular animal (whereas the “real” animal is trapped in its mola</w:t>
      </w:r>
      <w:r>
        <w:rPr>
          <w:rFonts w:ascii="Times New Roman" w:hAnsi="Times New Roman"/>
          <w:sz w:val="24"/>
          <w:szCs w:val="24"/>
        </w:rPr>
        <w:t>r form and subjectivity)” (</w:t>
      </w:r>
      <w:r w:rsidRPr="00985103">
        <w:rPr>
          <w:rFonts w:ascii="Times New Roman" w:hAnsi="Times New Roman"/>
          <w:sz w:val="24"/>
          <w:szCs w:val="24"/>
        </w:rPr>
        <w:t xml:space="preserve">275). Neither do becomings involve imitation or even conceptual proximity: </w:t>
      </w:r>
    </w:p>
    <w:p w:rsidR="002D463E" w:rsidRPr="00985103" w:rsidRDefault="002D463E" w:rsidP="00A30E4F">
      <w:pPr>
        <w:pStyle w:val="InsideAddress"/>
        <w:spacing w:line="360" w:lineRule="auto"/>
        <w:ind w:left="737" w:right="737" w:hanging="720"/>
        <w:rPr>
          <w:rFonts w:ascii="Times New Roman" w:hAnsi="Times New Roman"/>
          <w:sz w:val="24"/>
          <w:szCs w:val="24"/>
        </w:rPr>
      </w:pPr>
      <w:r w:rsidRPr="00985103">
        <w:rPr>
          <w:rFonts w:ascii="Times New Roman" w:hAnsi="Times New Roman"/>
          <w:sz w:val="24"/>
          <w:szCs w:val="24"/>
        </w:rPr>
        <w:t xml:space="preserve"> </w:t>
      </w:r>
      <w:r w:rsidRPr="00985103">
        <w:rPr>
          <w:rFonts w:ascii="Times New Roman" w:hAnsi="Times New Roman"/>
          <w:sz w:val="24"/>
          <w:szCs w:val="24"/>
        </w:rPr>
        <w:tab/>
        <w:t xml:space="preserve">An example: Do not imitate a dog, but make your organism enter into composition with </w:t>
      </w:r>
      <w:r w:rsidRPr="00985103">
        <w:rPr>
          <w:rFonts w:ascii="Times New Roman" w:hAnsi="Times New Roman"/>
          <w:i/>
          <w:sz w:val="24"/>
          <w:szCs w:val="24"/>
        </w:rPr>
        <w:t>something else</w:t>
      </w:r>
      <w:r w:rsidRPr="00985103">
        <w:rPr>
          <w:rFonts w:ascii="Times New Roman" w:hAnsi="Times New Roman"/>
          <w:sz w:val="24"/>
          <w:szCs w:val="24"/>
        </w:rPr>
        <w:t xml:space="preserve"> in such a way that the particles emitted from the aggregate thus composed will be canine as a function of the relation of movement and rest or of molecular proximity, in which they can enter. Clearly this something else can be quite varied, and be more or less directly related to the animal in question: it can be the animal’s natural food (dirt and worm), or its exterior relations with other animals (you can become-dog with cats or become-monkey with a horse), or an apparatus or prosthesis to which a person subjects the animal (muzzle and reindeer, etc., or something that does not even have a localizable relation </w:t>
      </w:r>
      <w:r>
        <w:rPr>
          <w:rFonts w:ascii="Times New Roman" w:hAnsi="Times New Roman"/>
          <w:sz w:val="24"/>
          <w:szCs w:val="24"/>
        </w:rPr>
        <w:t>to the animal in question (</w:t>
      </w:r>
      <w:r w:rsidRPr="00985103">
        <w:rPr>
          <w:rFonts w:ascii="Times New Roman" w:hAnsi="Times New Roman"/>
          <w:sz w:val="24"/>
          <w:szCs w:val="24"/>
        </w:rPr>
        <w:t xml:space="preserve">274). </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i/>
          <w:sz w:val="24"/>
          <w:szCs w:val="24"/>
        </w:rPr>
      </w:pPr>
      <w:r w:rsidRPr="00985103">
        <w:rPr>
          <w:rFonts w:ascii="Times New Roman" w:hAnsi="Times New Roman"/>
          <w:sz w:val="24"/>
          <w:szCs w:val="24"/>
        </w:rPr>
        <w:t>Neither does becoming mean functionality. It is not about accomplishing something types tend to accomplish</w:t>
      </w:r>
      <w:r>
        <w:rPr>
          <w:rFonts w:ascii="Times New Roman" w:hAnsi="Times New Roman"/>
          <w:sz w:val="24"/>
          <w:szCs w:val="24"/>
        </w:rPr>
        <w:t xml:space="preserve"> </w:t>
      </w:r>
      <w:r w:rsidRPr="005F45E1">
        <w:rPr>
          <w:rFonts w:ascii="Times New Roman" w:hAnsi="Times New Roman"/>
          <w:i/>
          <w:sz w:val="24"/>
          <w:szCs w:val="24"/>
        </w:rPr>
        <w:t>by nature</w:t>
      </w:r>
      <w:r w:rsidRPr="00985103">
        <w:rPr>
          <w:rFonts w:ascii="Times New Roman" w:hAnsi="Times New Roman"/>
          <w:sz w:val="24"/>
          <w:szCs w:val="24"/>
        </w:rPr>
        <w:t xml:space="preserve"> or hope for,</w:t>
      </w:r>
      <w:r>
        <w:rPr>
          <w:rFonts w:ascii="Times New Roman" w:hAnsi="Times New Roman"/>
          <w:sz w:val="24"/>
          <w:szCs w:val="24"/>
        </w:rPr>
        <w:t xml:space="preserve"> like acting autonomously or making babies. </w:t>
      </w:r>
      <w:r w:rsidRPr="00985103">
        <w:rPr>
          <w:rFonts w:ascii="Times New Roman" w:hAnsi="Times New Roman"/>
          <w:sz w:val="24"/>
          <w:szCs w:val="24"/>
        </w:rPr>
        <w:t xml:space="preserve">The </w:t>
      </w:r>
      <w:r>
        <w:rPr>
          <w:rFonts w:ascii="Times New Roman" w:hAnsi="Times New Roman"/>
          <w:sz w:val="24"/>
          <w:szCs w:val="24"/>
        </w:rPr>
        <w:t>“</w:t>
      </w:r>
      <w:r w:rsidRPr="00985103">
        <w:rPr>
          <w:rFonts w:ascii="Times New Roman" w:hAnsi="Times New Roman"/>
          <w:sz w:val="24"/>
          <w:szCs w:val="24"/>
        </w:rPr>
        <w:t>pro</w:t>
      </w:r>
      <w:r>
        <w:rPr>
          <w:rFonts w:ascii="Times New Roman" w:hAnsi="Times New Roman"/>
          <w:sz w:val="24"/>
          <w:szCs w:val="24"/>
        </w:rPr>
        <w:t>duction of the molecular animal” (275)</w:t>
      </w:r>
      <w:r w:rsidRPr="00985103">
        <w:rPr>
          <w:rFonts w:ascii="Times New Roman" w:hAnsi="Times New Roman"/>
          <w:sz w:val="24"/>
          <w:szCs w:val="24"/>
        </w:rPr>
        <w:t xml:space="preserve"> means the intensifications of a </w:t>
      </w:r>
      <w:r w:rsidRPr="005F45E1">
        <w:rPr>
          <w:rFonts w:ascii="Times New Roman" w:hAnsi="Times New Roman"/>
          <w:i/>
          <w:sz w:val="24"/>
          <w:szCs w:val="24"/>
        </w:rPr>
        <w:t>zone</w:t>
      </w:r>
      <w:r w:rsidRPr="00985103">
        <w:rPr>
          <w:rFonts w:ascii="Times New Roman" w:hAnsi="Times New Roman"/>
          <w:sz w:val="24"/>
          <w:szCs w:val="24"/>
        </w:rPr>
        <w:t xml:space="preserve"> or </w:t>
      </w:r>
      <w:r w:rsidRPr="005F45E1">
        <w:rPr>
          <w:rFonts w:ascii="Times New Roman" w:hAnsi="Times New Roman"/>
          <w:i/>
          <w:sz w:val="24"/>
          <w:szCs w:val="24"/>
        </w:rPr>
        <w:t>bloc</w:t>
      </w:r>
      <w:r>
        <w:rPr>
          <w:rFonts w:ascii="Times New Roman" w:hAnsi="Times New Roman"/>
          <w:sz w:val="24"/>
          <w:szCs w:val="24"/>
        </w:rPr>
        <w:t xml:space="preserve"> of connectivity—</w:t>
      </w:r>
      <w:r w:rsidRPr="00985103">
        <w:rPr>
          <w:rFonts w:ascii="Times New Roman" w:hAnsi="Times New Roman"/>
          <w:sz w:val="24"/>
          <w:szCs w:val="24"/>
        </w:rPr>
        <w:t>proximities but not spatial, nor temporal nor</w:t>
      </w:r>
      <w:r>
        <w:rPr>
          <w:rFonts w:ascii="Times New Roman" w:hAnsi="Times New Roman"/>
          <w:sz w:val="24"/>
          <w:szCs w:val="24"/>
        </w:rPr>
        <w:t xml:space="preserve"> even conceptual adjacencies—</w:t>
      </w:r>
      <w:r w:rsidRPr="00985103">
        <w:rPr>
          <w:rFonts w:ascii="Times New Roman" w:hAnsi="Times New Roman"/>
          <w:sz w:val="24"/>
          <w:szCs w:val="24"/>
        </w:rPr>
        <w:t xml:space="preserve">toward a particular configuration of movement and rest which </w:t>
      </w:r>
      <w:r w:rsidRPr="00985103">
        <w:rPr>
          <w:rFonts w:ascii="Times New Roman" w:hAnsi="Times New Roman"/>
          <w:i/>
          <w:sz w:val="24"/>
          <w:szCs w:val="24"/>
        </w:rPr>
        <w:t>expresses</w:t>
      </w:r>
      <w:r w:rsidRPr="00985103">
        <w:rPr>
          <w:rFonts w:ascii="Times New Roman" w:hAnsi="Times New Roman"/>
          <w:sz w:val="24"/>
          <w:szCs w:val="24"/>
        </w:rPr>
        <w:t xml:space="preserve"> but does not </w:t>
      </w:r>
      <w:r w:rsidRPr="00985103">
        <w:rPr>
          <w:rFonts w:ascii="Times New Roman" w:hAnsi="Times New Roman"/>
          <w:i/>
          <w:sz w:val="24"/>
          <w:szCs w:val="24"/>
        </w:rPr>
        <w:t>represent</w:t>
      </w:r>
      <w:r w:rsidRPr="00985103">
        <w:rPr>
          <w:rFonts w:ascii="Times New Roman" w:hAnsi="Times New Roman"/>
          <w:sz w:val="24"/>
          <w:szCs w:val="24"/>
        </w:rPr>
        <w:t xml:space="preserve"> a quality or qualities of animality, of animal-livings. This is crucial. Notice that the key features of extensionist </w:t>
      </w:r>
      <w:r>
        <w:rPr>
          <w:rFonts w:ascii="Times New Roman" w:hAnsi="Times New Roman"/>
          <w:sz w:val="24"/>
          <w:szCs w:val="24"/>
        </w:rPr>
        <w:t xml:space="preserve">moral </w:t>
      </w:r>
      <w:r w:rsidRPr="00985103">
        <w:rPr>
          <w:rFonts w:ascii="Times New Roman" w:hAnsi="Times New Roman"/>
          <w:sz w:val="24"/>
          <w:szCs w:val="24"/>
        </w:rPr>
        <w:t xml:space="preserve">thought </w:t>
      </w:r>
      <w:r>
        <w:rPr>
          <w:rFonts w:ascii="Times New Roman" w:hAnsi="Times New Roman"/>
          <w:sz w:val="24"/>
          <w:szCs w:val="24"/>
        </w:rPr>
        <w:t>discussed above—</w:t>
      </w:r>
      <w:r w:rsidRPr="00985103">
        <w:rPr>
          <w:rFonts w:ascii="Times New Roman" w:hAnsi="Times New Roman"/>
          <w:sz w:val="24"/>
          <w:szCs w:val="24"/>
        </w:rPr>
        <w:t xml:space="preserve">proximity as </w:t>
      </w:r>
      <w:r>
        <w:rPr>
          <w:rFonts w:ascii="Times New Roman" w:hAnsi="Times New Roman"/>
          <w:sz w:val="24"/>
          <w:szCs w:val="24"/>
        </w:rPr>
        <w:t xml:space="preserve">seriality and </w:t>
      </w:r>
      <w:r w:rsidRPr="00985103">
        <w:rPr>
          <w:rFonts w:ascii="Times New Roman" w:hAnsi="Times New Roman"/>
          <w:sz w:val="24"/>
          <w:szCs w:val="24"/>
        </w:rPr>
        <w:t xml:space="preserve">adjacency, </w:t>
      </w:r>
      <w:r>
        <w:rPr>
          <w:rFonts w:ascii="Times New Roman" w:hAnsi="Times New Roman"/>
          <w:sz w:val="24"/>
          <w:szCs w:val="24"/>
        </w:rPr>
        <w:t xml:space="preserve">analogy, </w:t>
      </w:r>
      <w:r w:rsidRPr="00985103">
        <w:rPr>
          <w:rFonts w:ascii="Times New Roman" w:hAnsi="Times New Roman"/>
          <w:sz w:val="24"/>
          <w:szCs w:val="24"/>
        </w:rPr>
        <w:t>resemblance and functionality</w:t>
      </w:r>
      <w:r>
        <w:rPr>
          <w:rFonts w:ascii="Times New Roman" w:hAnsi="Times New Roman"/>
          <w:sz w:val="24"/>
          <w:szCs w:val="24"/>
        </w:rPr>
        <w:t>—</w:t>
      </w:r>
      <w:r w:rsidRPr="00985103">
        <w:rPr>
          <w:rFonts w:ascii="Times New Roman" w:hAnsi="Times New Roman"/>
          <w:sz w:val="24"/>
          <w:szCs w:val="24"/>
        </w:rPr>
        <w:t xml:space="preserve">are antithetical to </w:t>
      </w:r>
      <w:r w:rsidRPr="00985103">
        <w:rPr>
          <w:rFonts w:ascii="Times New Roman" w:hAnsi="Times New Roman"/>
          <w:i/>
          <w:sz w:val="24"/>
          <w:szCs w:val="24"/>
        </w:rPr>
        <w:t>becoming.</w:t>
      </w:r>
    </w:p>
    <w:p w:rsidR="002D463E" w:rsidRDefault="002D463E" w:rsidP="002D463E">
      <w:pPr>
        <w:pStyle w:val="InsideAddress"/>
        <w:spacing w:line="360" w:lineRule="auto"/>
        <w:rPr>
          <w:rFonts w:ascii="Times New Roman" w:hAnsi="Times New Roman"/>
          <w:sz w:val="24"/>
          <w:szCs w:val="24"/>
        </w:rPr>
      </w:pPr>
    </w:p>
    <w:p w:rsidR="002D463E" w:rsidRDefault="002D463E" w:rsidP="002D463E">
      <w:pPr>
        <w:pStyle w:val="InsideAddress"/>
        <w:spacing w:line="360" w:lineRule="auto"/>
        <w:rPr>
          <w:rFonts w:ascii="Times New Roman" w:hAnsi="Times New Roman"/>
          <w:sz w:val="24"/>
          <w:szCs w:val="24"/>
        </w:rPr>
      </w:pPr>
      <w:r>
        <w:rPr>
          <w:rFonts w:ascii="Times New Roman" w:hAnsi="Times New Roman"/>
          <w:sz w:val="24"/>
          <w:szCs w:val="24"/>
        </w:rPr>
        <w:t>And w</w:t>
      </w:r>
      <w:r w:rsidRPr="00985103">
        <w:rPr>
          <w:rFonts w:ascii="Times New Roman" w:hAnsi="Times New Roman"/>
          <w:sz w:val="24"/>
          <w:szCs w:val="24"/>
        </w:rPr>
        <w:t>hat</w:t>
      </w:r>
      <w:r>
        <w:rPr>
          <w:rFonts w:ascii="Times New Roman" w:hAnsi="Times New Roman"/>
          <w:sz w:val="24"/>
          <w:szCs w:val="24"/>
        </w:rPr>
        <w:t>, then,</w:t>
      </w:r>
      <w:r w:rsidRPr="00985103">
        <w:rPr>
          <w:rFonts w:ascii="Times New Roman" w:hAnsi="Times New Roman"/>
          <w:sz w:val="24"/>
          <w:szCs w:val="24"/>
        </w:rPr>
        <w:t xml:space="preserve"> of </w:t>
      </w:r>
      <w:r w:rsidRPr="00985103">
        <w:rPr>
          <w:rFonts w:ascii="Times New Roman" w:hAnsi="Times New Roman"/>
          <w:i/>
          <w:sz w:val="24"/>
          <w:szCs w:val="24"/>
        </w:rPr>
        <w:t>becoming–plant</w:t>
      </w:r>
      <w:r w:rsidRPr="00985103">
        <w:rPr>
          <w:rFonts w:ascii="Times New Roman" w:hAnsi="Times New Roman"/>
          <w:sz w:val="24"/>
          <w:szCs w:val="24"/>
        </w:rPr>
        <w:t xml:space="preserve">? </w:t>
      </w:r>
    </w:p>
    <w:p w:rsidR="002D463E"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sidRPr="00985103">
        <w:rPr>
          <w:rFonts w:ascii="Times New Roman" w:hAnsi="Times New Roman"/>
          <w:sz w:val="24"/>
          <w:szCs w:val="24"/>
        </w:rPr>
        <w:t xml:space="preserve">In principle, </w:t>
      </w:r>
      <w:r w:rsidRPr="00985103">
        <w:rPr>
          <w:rFonts w:ascii="Times New Roman" w:hAnsi="Times New Roman"/>
          <w:i/>
          <w:sz w:val="24"/>
          <w:szCs w:val="24"/>
        </w:rPr>
        <w:t>becoming-plant</w:t>
      </w:r>
      <w:r w:rsidRPr="00985103">
        <w:rPr>
          <w:rFonts w:ascii="Times New Roman" w:hAnsi="Times New Roman"/>
          <w:sz w:val="24"/>
          <w:szCs w:val="24"/>
        </w:rPr>
        <w:t xml:space="preserve"> would involve our </w:t>
      </w:r>
      <w:r>
        <w:rPr>
          <w:rFonts w:ascii="Times New Roman" w:hAnsi="Times New Roman"/>
          <w:sz w:val="24"/>
          <w:szCs w:val="24"/>
        </w:rPr>
        <w:t xml:space="preserve">extension and ideas </w:t>
      </w:r>
      <w:r w:rsidRPr="00985103">
        <w:rPr>
          <w:rFonts w:ascii="Times New Roman" w:hAnsi="Times New Roman"/>
          <w:sz w:val="24"/>
          <w:szCs w:val="24"/>
        </w:rPr>
        <w:t>entering into composit</w:t>
      </w:r>
      <w:r>
        <w:rPr>
          <w:rFonts w:ascii="Times New Roman" w:hAnsi="Times New Roman"/>
          <w:sz w:val="24"/>
          <w:szCs w:val="24"/>
        </w:rPr>
        <w:t xml:space="preserve">ion </w:t>
      </w:r>
      <w:r w:rsidRPr="00985103">
        <w:rPr>
          <w:rFonts w:ascii="Times New Roman" w:hAnsi="Times New Roman"/>
          <w:sz w:val="24"/>
          <w:szCs w:val="24"/>
        </w:rPr>
        <w:t xml:space="preserve">with </w:t>
      </w:r>
      <w:r w:rsidRPr="00985103">
        <w:rPr>
          <w:rFonts w:ascii="Times New Roman" w:hAnsi="Times New Roman"/>
          <w:i/>
          <w:sz w:val="24"/>
          <w:szCs w:val="24"/>
        </w:rPr>
        <w:t>something else</w:t>
      </w:r>
      <w:r w:rsidRPr="00985103">
        <w:rPr>
          <w:rFonts w:ascii="Times New Roman" w:hAnsi="Times New Roman"/>
          <w:sz w:val="24"/>
          <w:szCs w:val="24"/>
        </w:rPr>
        <w:t xml:space="preserve"> in such a way that the particles emitted </w:t>
      </w:r>
      <w:r w:rsidRPr="005F45E1">
        <w:rPr>
          <w:rFonts w:ascii="Times New Roman" w:hAnsi="Times New Roman"/>
          <w:i/>
          <w:sz w:val="24"/>
          <w:szCs w:val="24"/>
        </w:rPr>
        <w:t>from</w:t>
      </w:r>
      <w:r w:rsidRPr="00985103">
        <w:rPr>
          <w:rFonts w:ascii="Times New Roman" w:hAnsi="Times New Roman"/>
          <w:sz w:val="24"/>
          <w:szCs w:val="24"/>
        </w:rPr>
        <w:t xml:space="preserve"> the</w:t>
      </w:r>
      <w:r>
        <w:rPr>
          <w:rFonts w:ascii="Times New Roman" w:hAnsi="Times New Roman"/>
          <w:sz w:val="24"/>
          <w:szCs w:val="24"/>
        </w:rPr>
        <w:t xml:space="preserve"> aggregate thus composed will </w:t>
      </w:r>
      <w:r w:rsidRPr="005F45E1">
        <w:rPr>
          <w:rFonts w:ascii="Times New Roman" w:hAnsi="Times New Roman"/>
          <w:i/>
          <w:sz w:val="24"/>
          <w:szCs w:val="24"/>
        </w:rPr>
        <w:t>verb</w:t>
      </w:r>
      <w:r>
        <w:rPr>
          <w:rFonts w:ascii="Times New Roman" w:hAnsi="Times New Roman"/>
          <w:sz w:val="24"/>
          <w:szCs w:val="24"/>
        </w:rPr>
        <w:t xml:space="preserve"> </w:t>
      </w:r>
      <w:r w:rsidRPr="00985103">
        <w:rPr>
          <w:rFonts w:ascii="Times New Roman" w:hAnsi="Times New Roman"/>
          <w:i/>
          <w:sz w:val="24"/>
          <w:szCs w:val="24"/>
        </w:rPr>
        <w:t>vegeta</w:t>
      </w:r>
      <w:r>
        <w:rPr>
          <w:rFonts w:ascii="Times New Roman" w:hAnsi="Times New Roman"/>
          <w:i/>
          <w:sz w:val="24"/>
          <w:szCs w:val="24"/>
        </w:rPr>
        <w:t>lly</w:t>
      </w:r>
      <w:r w:rsidRPr="00985103">
        <w:rPr>
          <w:rFonts w:ascii="Times New Roman" w:hAnsi="Times New Roman"/>
          <w:sz w:val="24"/>
          <w:szCs w:val="24"/>
        </w:rPr>
        <w:t xml:space="preserve"> as a function of the relation of movement and rest, or of molecular proximity, in which they can enter. Becoming-plant is the emission of particles from a heterogeneous alliance we make which expresses </w:t>
      </w:r>
      <w:r>
        <w:rPr>
          <w:rFonts w:ascii="Times New Roman" w:hAnsi="Times New Roman"/>
          <w:sz w:val="24"/>
          <w:szCs w:val="24"/>
        </w:rPr>
        <w:t xml:space="preserve">in action </w:t>
      </w:r>
      <w:r w:rsidRPr="00985103">
        <w:rPr>
          <w:rFonts w:ascii="Times New Roman" w:hAnsi="Times New Roman"/>
          <w:sz w:val="24"/>
          <w:szCs w:val="24"/>
        </w:rPr>
        <w:t xml:space="preserve">the unique qualities of plants or plant-lives. These qualities would, in principle, not be the same qualities as those of women or women-lives, nor of canines, nor of children and childhoods. </w:t>
      </w:r>
      <w:r>
        <w:rPr>
          <w:rFonts w:ascii="Times New Roman" w:hAnsi="Times New Roman"/>
          <w:sz w:val="24"/>
          <w:szCs w:val="24"/>
        </w:rPr>
        <w:t>Very l</w:t>
      </w:r>
      <w:r w:rsidRPr="00985103">
        <w:rPr>
          <w:rFonts w:ascii="Times New Roman" w:hAnsi="Times New Roman"/>
          <w:sz w:val="24"/>
          <w:szCs w:val="24"/>
        </w:rPr>
        <w:t xml:space="preserve">ittle attention has been </w:t>
      </w:r>
      <w:r>
        <w:rPr>
          <w:rFonts w:ascii="Times New Roman" w:hAnsi="Times New Roman"/>
          <w:sz w:val="24"/>
          <w:szCs w:val="24"/>
        </w:rPr>
        <w:t>devoted to imagining</w:t>
      </w:r>
      <w:r w:rsidRPr="00985103">
        <w:rPr>
          <w:rFonts w:ascii="Times New Roman" w:hAnsi="Times New Roman"/>
          <w:sz w:val="24"/>
          <w:szCs w:val="24"/>
        </w:rPr>
        <w:t xml:space="preserve"> what these unique expressions of plant-livings might actually be. This should strikes us as unfortunate if indeed different becomings are philosophically unique; that is to say, express unique logics, phenomenalities, conceptualities, imaginarie</w:t>
      </w:r>
      <w:r>
        <w:rPr>
          <w:rFonts w:ascii="Times New Roman" w:hAnsi="Times New Roman"/>
          <w:sz w:val="24"/>
          <w:szCs w:val="24"/>
        </w:rPr>
        <w:t>s and values, and enable us to “</w:t>
      </w:r>
      <w:r w:rsidRPr="00985103">
        <w:rPr>
          <w:rFonts w:ascii="Times New Roman" w:hAnsi="Times New Roman"/>
          <w:sz w:val="24"/>
          <w:szCs w:val="24"/>
        </w:rPr>
        <w:t>e</w:t>
      </w:r>
      <w:r>
        <w:rPr>
          <w:rFonts w:ascii="Times New Roman" w:hAnsi="Times New Roman"/>
          <w:sz w:val="24"/>
          <w:szCs w:val="24"/>
        </w:rPr>
        <w:t xml:space="preserve">nter into” proximity with a genuinely different </w:t>
      </w:r>
      <w:r w:rsidRPr="00985103">
        <w:rPr>
          <w:rFonts w:ascii="Times New Roman" w:hAnsi="Times New Roman"/>
          <w:sz w:val="24"/>
          <w:szCs w:val="24"/>
        </w:rPr>
        <w:t xml:space="preserve">range of thoughts and bodies.  </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Pr>
          <w:rFonts w:ascii="Times New Roman" w:hAnsi="Times New Roman"/>
          <w:sz w:val="24"/>
          <w:szCs w:val="24"/>
        </w:rPr>
        <w:t xml:space="preserve">In the final </w:t>
      </w:r>
      <w:r w:rsidRPr="00985103">
        <w:rPr>
          <w:rFonts w:ascii="Times New Roman" w:hAnsi="Times New Roman"/>
          <w:sz w:val="24"/>
          <w:szCs w:val="24"/>
        </w:rPr>
        <w:t>section</w:t>
      </w:r>
      <w:r>
        <w:rPr>
          <w:rFonts w:ascii="Times New Roman" w:hAnsi="Times New Roman"/>
          <w:sz w:val="24"/>
          <w:szCs w:val="24"/>
        </w:rPr>
        <w:t xml:space="preserve"> of this paper</w:t>
      </w:r>
      <w:r w:rsidRPr="00985103">
        <w:rPr>
          <w:rFonts w:ascii="Times New Roman" w:hAnsi="Times New Roman"/>
          <w:sz w:val="24"/>
          <w:szCs w:val="24"/>
        </w:rPr>
        <w:t xml:space="preserve"> I </w:t>
      </w:r>
      <w:r>
        <w:rPr>
          <w:rFonts w:ascii="Times New Roman" w:hAnsi="Times New Roman"/>
          <w:sz w:val="24"/>
          <w:szCs w:val="24"/>
        </w:rPr>
        <w:t>begin to try to</w:t>
      </w:r>
      <w:r w:rsidRPr="00985103">
        <w:rPr>
          <w:rFonts w:ascii="Times New Roman" w:hAnsi="Times New Roman"/>
          <w:sz w:val="24"/>
          <w:szCs w:val="24"/>
        </w:rPr>
        <w:t xml:space="preserve"> articulat</w:t>
      </w:r>
      <w:r>
        <w:rPr>
          <w:rFonts w:ascii="Times New Roman" w:hAnsi="Times New Roman"/>
          <w:sz w:val="24"/>
          <w:szCs w:val="24"/>
        </w:rPr>
        <w:t>e</w:t>
      </w:r>
      <w:r w:rsidRPr="00985103">
        <w:rPr>
          <w:rFonts w:ascii="Times New Roman" w:hAnsi="Times New Roman"/>
          <w:sz w:val="24"/>
          <w:szCs w:val="24"/>
        </w:rPr>
        <w:t xml:space="preserve"> the unique bloc of </w:t>
      </w:r>
      <w:r w:rsidRPr="00985103">
        <w:rPr>
          <w:rFonts w:ascii="Times New Roman" w:hAnsi="Times New Roman"/>
          <w:i/>
          <w:sz w:val="24"/>
          <w:szCs w:val="24"/>
        </w:rPr>
        <w:t>in-between</w:t>
      </w:r>
      <w:r w:rsidRPr="00985103">
        <w:rPr>
          <w:rFonts w:ascii="Times New Roman" w:hAnsi="Times New Roman"/>
          <w:sz w:val="24"/>
          <w:szCs w:val="24"/>
        </w:rPr>
        <w:t xml:space="preserve"> </w:t>
      </w:r>
      <w:r>
        <w:rPr>
          <w:rFonts w:ascii="Times New Roman" w:hAnsi="Times New Roman"/>
          <w:sz w:val="24"/>
          <w:szCs w:val="24"/>
        </w:rPr>
        <w:t>expressed by the phenomenon</w:t>
      </w:r>
      <w:r w:rsidRPr="00985103">
        <w:rPr>
          <w:rFonts w:ascii="Times New Roman" w:hAnsi="Times New Roman"/>
          <w:sz w:val="24"/>
          <w:szCs w:val="24"/>
        </w:rPr>
        <w:t xml:space="preserve"> of plant communication. Besides plant communication, there are at least six non-superficial ways that plant-life differs from the lives of all other members of the kingdom animalia, whether </w:t>
      </w:r>
      <w:r>
        <w:rPr>
          <w:rFonts w:ascii="Times New Roman" w:hAnsi="Times New Roman"/>
          <w:sz w:val="24"/>
          <w:szCs w:val="24"/>
        </w:rPr>
        <w:t>“a snake or a codfish, or even a bee” (Midgley, 2004: 49): 1)</w:t>
      </w:r>
      <w:r w:rsidRPr="00985103">
        <w:rPr>
          <w:rFonts w:ascii="Times New Roman" w:hAnsi="Times New Roman"/>
          <w:sz w:val="24"/>
          <w:szCs w:val="24"/>
        </w:rPr>
        <w:t xml:space="preserve"> </w:t>
      </w:r>
      <w:r>
        <w:rPr>
          <w:rFonts w:ascii="Times New Roman" w:hAnsi="Times New Roman"/>
          <w:sz w:val="24"/>
          <w:szCs w:val="24"/>
        </w:rPr>
        <w:t>i</w:t>
      </w:r>
      <w:r w:rsidRPr="00985103">
        <w:rPr>
          <w:rFonts w:ascii="Times New Roman" w:hAnsi="Times New Roman"/>
          <w:sz w:val="24"/>
          <w:szCs w:val="24"/>
        </w:rPr>
        <w:t xml:space="preserve">n rhizomes alone, a capacity to form new growth at any point along its body; 2) extreme seasonality of viable reproduction; 3) the great distances in time and space, and the elemental forces of water, heat and wind that reproductive and nutritive parts must navigate to realize their teloi; 4) the immediate triggering of cell-death upon successful pollination; 5) the presence of four axes of symmetry: </w:t>
      </w:r>
      <w:r>
        <w:rPr>
          <w:rFonts w:ascii="Times New Roman" w:hAnsi="Times New Roman"/>
          <w:sz w:val="24"/>
          <w:szCs w:val="24"/>
        </w:rPr>
        <w:t xml:space="preserve">radial, </w:t>
      </w:r>
      <w:r w:rsidRPr="00985103">
        <w:rPr>
          <w:rFonts w:ascii="Times New Roman" w:hAnsi="Times New Roman"/>
          <w:sz w:val="24"/>
          <w:szCs w:val="24"/>
        </w:rPr>
        <w:t xml:space="preserve">left-right (bilateral); front-back (adaxial-abaxial) </w:t>
      </w:r>
      <w:r>
        <w:rPr>
          <w:rFonts w:ascii="Times New Roman" w:hAnsi="Times New Roman"/>
          <w:sz w:val="24"/>
          <w:szCs w:val="24"/>
        </w:rPr>
        <w:t xml:space="preserve">and </w:t>
      </w:r>
      <w:r w:rsidRPr="00985103">
        <w:rPr>
          <w:rFonts w:ascii="Times New Roman" w:hAnsi="Times New Roman"/>
          <w:sz w:val="24"/>
          <w:szCs w:val="24"/>
        </w:rPr>
        <w:t>up-down; 6) the presence of male and female parts on the same organism.</w:t>
      </w:r>
      <w:r>
        <w:rPr>
          <w:rFonts w:ascii="Times New Roman" w:hAnsi="Times New Roman"/>
          <w:sz w:val="24"/>
          <w:szCs w:val="24"/>
        </w:rPr>
        <w:t xml:space="preserve"> </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sidRPr="00985103">
        <w:rPr>
          <w:rFonts w:ascii="Times New Roman" w:hAnsi="Times New Roman"/>
          <w:kern w:val="0"/>
          <w:sz w:val="24"/>
          <w:szCs w:val="24"/>
        </w:rPr>
        <w:t xml:space="preserve">My </w:t>
      </w:r>
      <w:r>
        <w:rPr>
          <w:rFonts w:ascii="Times New Roman" w:hAnsi="Times New Roman"/>
          <w:kern w:val="0"/>
          <w:sz w:val="24"/>
          <w:szCs w:val="24"/>
        </w:rPr>
        <w:t>work here</w:t>
      </w:r>
      <w:r w:rsidRPr="00985103">
        <w:rPr>
          <w:rFonts w:ascii="Times New Roman" w:hAnsi="Times New Roman"/>
          <w:kern w:val="0"/>
          <w:sz w:val="24"/>
          <w:szCs w:val="24"/>
        </w:rPr>
        <w:t xml:space="preserve"> is not intended to establish a truth about </w:t>
      </w:r>
      <w:r w:rsidRPr="00B5000E">
        <w:rPr>
          <w:rFonts w:ascii="Times New Roman" w:hAnsi="Times New Roman"/>
          <w:i/>
          <w:kern w:val="0"/>
          <w:sz w:val="24"/>
          <w:szCs w:val="24"/>
        </w:rPr>
        <w:t>plants in general</w:t>
      </w:r>
      <w:r w:rsidRPr="00985103">
        <w:rPr>
          <w:rFonts w:ascii="Times New Roman" w:hAnsi="Times New Roman"/>
          <w:kern w:val="0"/>
          <w:sz w:val="24"/>
          <w:szCs w:val="24"/>
        </w:rPr>
        <w:t>; about how the secret life of plants is cool; about how plant life is like or is not like human life, and to what degree; or even</w:t>
      </w:r>
      <w:r>
        <w:rPr>
          <w:rFonts w:ascii="Times New Roman" w:hAnsi="Times New Roman"/>
          <w:kern w:val="0"/>
          <w:sz w:val="24"/>
          <w:szCs w:val="24"/>
        </w:rPr>
        <w:t xml:space="preserve"> in the service of the concern</w:t>
      </w:r>
      <w:r w:rsidRPr="00985103">
        <w:rPr>
          <w:rFonts w:ascii="Times New Roman" w:hAnsi="Times New Roman"/>
          <w:kern w:val="0"/>
          <w:sz w:val="24"/>
          <w:szCs w:val="24"/>
        </w:rPr>
        <w:t xml:space="preserve"> that plants deserv</w:t>
      </w:r>
      <w:r>
        <w:rPr>
          <w:rFonts w:ascii="Times New Roman" w:hAnsi="Times New Roman"/>
          <w:kern w:val="0"/>
          <w:sz w:val="24"/>
          <w:szCs w:val="24"/>
        </w:rPr>
        <w:t>e</w:t>
      </w:r>
      <w:r w:rsidRPr="00985103">
        <w:rPr>
          <w:rFonts w:ascii="Times New Roman" w:hAnsi="Times New Roman"/>
          <w:kern w:val="0"/>
          <w:sz w:val="24"/>
          <w:szCs w:val="24"/>
        </w:rPr>
        <w:t xml:space="preserve"> moral standing. </w:t>
      </w:r>
      <w:r>
        <w:rPr>
          <w:rFonts w:ascii="Times New Roman" w:hAnsi="Times New Roman"/>
          <w:kern w:val="0"/>
          <w:sz w:val="24"/>
          <w:szCs w:val="24"/>
        </w:rPr>
        <w:t>This work aims to make evident that t</w:t>
      </w:r>
      <w:r w:rsidRPr="00985103">
        <w:rPr>
          <w:rFonts w:ascii="Times New Roman" w:hAnsi="Times New Roman"/>
          <w:kern w:val="0"/>
          <w:sz w:val="24"/>
          <w:szCs w:val="24"/>
        </w:rPr>
        <w:t xml:space="preserve">hese vegetal modalities express genuinely different, rather than nifty </w:t>
      </w:r>
      <w:r>
        <w:rPr>
          <w:rFonts w:ascii="Times New Roman" w:hAnsi="Times New Roman"/>
          <w:i/>
          <w:kern w:val="0"/>
          <w:sz w:val="24"/>
          <w:szCs w:val="24"/>
        </w:rPr>
        <w:t>vegetal-variation on</w:t>
      </w:r>
      <w:r>
        <w:rPr>
          <w:rFonts w:ascii="Times New Roman" w:hAnsi="Times New Roman"/>
          <w:kern w:val="0"/>
          <w:sz w:val="24"/>
          <w:szCs w:val="24"/>
        </w:rPr>
        <w:t>,</w:t>
      </w:r>
      <w:r w:rsidRPr="00985103">
        <w:rPr>
          <w:rFonts w:ascii="Times New Roman" w:hAnsi="Times New Roman"/>
          <w:i/>
          <w:kern w:val="0"/>
          <w:sz w:val="24"/>
          <w:szCs w:val="24"/>
        </w:rPr>
        <w:t xml:space="preserve"> </w:t>
      </w:r>
      <w:r w:rsidRPr="00985103">
        <w:rPr>
          <w:rFonts w:ascii="Times New Roman" w:hAnsi="Times New Roman"/>
          <w:kern w:val="0"/>
          <w:sz w:val="24"/>
          <w:szCs w:val="24"/>
        </w:rPr>
        <w:t xml:space="preserve">our dominant </w:t>
      </w:r>
      <w:r>
        <w:rPr>
          <w:rFonts w:ascii="Times New Roman" w:hAnsi="Times New Roman"/>
          <w:kern w:val="0"/>
          <w:sz w:val="24"/>
          <w:szCs w:val="24"/>
        </w:rPr>
        <w:t>modes of enacting communication and</w:t>
      </w:r>
      <w:r w:rsidRPr="00985103">
        <w:rPr>
          <w:rFonts w:ascii="Times New Roman" w:hAnsi="Times New Roman"/>
          <w:kern w:val="0"/>
          <w:sz w:val="24"/>
          <w:szCs w:val="24"/>
        </w:rPr>
        <w:t xml:space="preserve"> our dominant ways of thinking about what communication is and is in the service of.</w:t>
      </w:r>
      <w:r w:rsidRPr="00985103">
        <w:rPr>
          <w:rFonts w:ascii="Times New Roman" w:hAnsi="Times New Roman"/>
          <w:sz w:val="24"/>
          <w:szCs w:val="24"/>
        </w:rPr>
        <w:t xml:space="preserve"> </w:t>
      </w:r>
      <w:r>
        <w:rPr>
          <w:rFonts w:ascii="Times New Roman" w:hAnsi="Times New Roman"/>
          <w:sz w:val="24"/>
          <w:szCs w:val="24"/>
        </w:rPr>
        <w:t>Ideally, w</w:t>
      </w:r>
      <w:r w:rsidRPr="00985103">
        <w:rPr>
          <w:rFonts w:ascii="Times New Roman" w:hAnsi="Times New Roman"/>
          <w:sz w:val="24"/>
          <w:szCs w:val="24"/>
        </w:rPr>
        <w:t xml:space="preserve">e want </w:t>
      </w:r>
      <w:r>
        <w:rPr>
          <w:rFonts w:ascii="Times New Roman" w:hAnsi="Times New Roman"/>
          <w:sz w:val="24"/>
          <w:szCs w:val="24"/>
        </w:rPr>
        <w:t>becomings to resonate</w:t>
      </w:r>
      <w:r w:rsidRPr="00985103">
        <w:rPr>
          <w:rFonts w:ascii="Times New Roman" w:hAnsi="Times New Roman"/>
          <w:sz w:val="24"/>
          <w:szCs w:val="24"/>
        </w:rPr>
        <w:t xml:space="preserve"> not just to </w:t>
      </w:r>
      <w:r>
        <w:rPr>
          <w:rFonts w:ascii="Times New Roman" w:hAnsi="Times New Roman"/>
          <w:sz w:val="24"/>
          <w:szCs w:val="24"/>
        </w:rPr>
        <w:t xml:space="preserve">be understood. My hope is that what is presented enters into composition with </w:t>
      </w:r>
      <w:r>
        <w:rPr>
          <w:rFonts w:ascii="Times New Roman" w:hAnsi="Times New Roman"/>
          <w:i/>
          <w:sz w:val="24"/>
          <w:szCs w:val="24"/>
        </w:rPr>
        <w:t>something else</w:t>
      </w:r>
      <w:r>
        <w:rPr>
          <w:rFonts w:ascii="Times New Roman" w:hAnsi="Times New Roman"/>
          <w:sz w:val="24"/>
          <w:szCs w:val="24"/>
        </w:rPr>
        <w:t xml:space="preserve">—perhaps inchoate but resonant </w:t>
      </w:r>
      <w:r w:rsidRPr="00F60572">
        <w:rPr>
          <w:rFonts w:ascii="Times New Roman" w:hAnsi="Times New Roman"/>
          <w:i/>
          <w:sz w:val="24"/>
          <w:szCs w:val="24"/>
        </w:rPr>
        <w:t>vegetality</w:t>
      </w:r>
      <w:r>
        <w:rPr>
          <w:rFonts w:ascii="Times New Roman" w:hAnsi="Times New Roman"/>
          <w:i/>
          <w:sz w:val="24"/>
          <w:szCs w:val="24"/>
        </w:rPr>
        <w:t xml:space="preserve"> mental or somatic experiences</w:t>
      </w:r>
      <w:r>
        <w:rPr>
          <w:rFonts w:ascii="Times New Roman" w:hAnsi="Times New Roman"/>
          <w:sz w:val="24"/>
          <w:szCs w:val="24"/>
        </w:rPr>
        <w:t xml:space="preserve">—and </w:t>
      </w:r>
      <w:r w:rsidRPr="00985103">
        <w:rPr>
          <w:rFonts w:ascii="Times New Roman" w:hAnsi="Times New Roman"/>
          <w:sz w:val="24"/>
          <w:szCs w:val="24"/>
        </w:rPr>
        <w:t>frees the powers of thought</w:t>
      </w:r>
      <w:r>
        <w:rPr>
          <w:rFonts w:ascii="Times New Roman" w:hAnsi="Times New Roman"/>
          <w:sz w:val="24"/>
          <w:szCs w:val="24"/>
        </w:rPr>
        <w:t>, even provisionally,</w:t>
      </w:r>
      <w:r w:rsidRPr="00985103">
        <w:rPr>
          <w:rFonts w:ascii="Times New Roman" w:hAnsi="Times New Roman"/>
          <w:sz w:val="24"/>
          <w:szCs w:val="24"/>
        </w:rPr>
        <w:t xml:space="preserve"> from the bad habits it </w:t>
      </w:r>
      <w:r>
        <w:rPr>
          <w:rFonts w:ascii="Times New Roman" w:hAnsi="Times New Roman"/>
          <w:sz w:val="24"/>
          <w:szCs w:val="24"/>
        </w:rPr>
        <w:t xml:space="preserve">has </w:t>
      </w:r>
      <w:r w:rsidRPr="00985103">
        <w:rPr>
          <w:rFonts w:ascii="Times New Roman" w:hAnsi="Times New Roman"/>
          <w:sz w:val="24"/>
          <w:szCs w:val="24"/>
        </w:rPr>
        <w:t>develop</w:t>
      </w:r>
      <w:r>
        <w:rPr>
          <w:rFonts w:ascii="Times New Roman" w:hAnsi="Times New Roman"/>
          <w:sz w:val="24"/>
          <w:szCs w:val="24"/>
        </w:rPr>
        <w:t xml:space="preserve">ed through (over)thinking-the-animal, to another power. </w:t>
      </w:r>
    </w:p>
    <w:p w:rsidR="002D463E" w:rsidRPr="00985103" w:rsidRDefault="002D463E" w:rsidP="002D463E">
      <w:pPr>
        <w:pStyle w:val="InsideAddress"/>
        <w:spacing w:line="360" w:lineRule="auto"/>
        <w:rPr>
          <w:rFonts w:ascii="Times New Roman" w:hAnsi="Times New Roman"/>
          <w:sz w:val="24"/>
          <w:szCs w:val="24"/>
        </w:rPr>
      </w:pPr>
    </w:p>
    <w:p w:rsidR="002D463E" w:rsidRPr="00FC5F2D" w:rsidRDefault="002D463E" w:rsidP="00E35253">
      <w:pPr>
        <w:pStyle w:val="Heading3"/>
      </w:pPr>
      <w:r w:rsidRPr="00FC5F2D">
        <w:t xml:space="preserve">3. Becoming-Plant-Communication </w:t>
      </w:r>
      <w:bookmarkStart w:id="84" w:name="50204301q11"/>
      <w:bookmarkEnd w:id="84"/>
      <w:r w:rsidRPr="00FC5F2D">
        <w:t xml:space="preserve">  </w:t>
      </w:r>
    </w:p>
    <w:p w:rsidR="002D463E" w:rsidRDefault="002D463E" w:rsidP="002D463E">
      <w:pPr>
        <w:rPr>
          <w:szCs w:val="24"/>
        </w:rPr>
      </w:pPr>
    </w:p>
    <w:p w:rsidR="002D463E" w:rsidRPr="00985103" w:rsidRDefault="002D463E" w:rsidP="002D463E">
      <w:pPr>
        <w:rPr>
          <w:szCs w:val="24"/>
        </w:rPr>
      </w:pPr>
      <w:r w:rsidRPr="00985103">
        <w:rPr>
          <w:szCs w:val="24"/>
        </w:rPr>
        <w:t xml:space="preserve">Research into plant communications (also called “plant signaling”) began in earnest in </w:t>
      </w:r>
      <w:smartTag w:uri="urn:schemas-microsoft-com:office:smarttags" w:element="place">
        <w:r w:rsidRPr="00985103">
          <w:rPr>
            <w:szCs w:val="24"/>
          </w:rPr>
          <w:t>North America</w:t>
        </w:r>
      </w:smartTag>
      <w:r w:rsidRPr="00985103">
        <w:rPr>
          <w:szCs w:val="24"/>
        </w:rPr>
        <w:t xml:space="preserve"> around 1983. Since then, there has been an explosion of research and peer-reviewed articles into the subject, appearing in every major scientific journal. All my sources for this paper are from work published in the past two years. T</w:t>
      </w:r>
      <w:r>
        <w:rPr>
          <w:szCs w:val="24"/>
        </w:rPr>
        <w:t xml:space="preserve">he actual methods of </w:t>
      </w:r>
      <w:r w:rsidRPr="00985103">
        <w:rPr>
          <w:szCs w:val="24"/>
        </w:rPr>
        <w:t>collection of plant signaling data</w:t>
      </w:r>
      <w:r>
        <w:rPr>
          <w:szCs w:val="24"/>
        </w:rPr>
        <w:t>,</w:t>
      </w:r>
      <w:r w:rsidRPr="00985103">
        <w:rPr>
          <w:szCs w:val="24"/>
        </w:rPr>
        <w:t xml:space="preserve"> and the </w:t>
      </w:r>
      <w:r>
        <w:rPr>
          <w:szCs w:val="24"/>
        </w:rPr>
        <w:t xml:space="preserve">subsequent </w:t>
      </w:r>
      <w:r w:rsidRPr="00985103">
        <w:rPr>
          <w:szCs w:val="24"/>
        </w:rPr>
        <w:t>discussions of the results</w:t>
      </w:r>
      <w:r>
        <w:rPr>
          <w:szCs w:val="24"/>
        </w:rPr>
        <w:t>,</w:t>
      </w:r>
      <w:r w:rsidRPr="00985103">
        <w:rPr>
          <w:szCs w:val="24"/>
        </w:rPr>
        <w:t xml:space="preserve"> have been framed by a predictable set of expectations and a predictable underlying ontology</w:t>
      </w:r>
      <w:r>
        <w:rPr>
          <w:szCs w:val="24"/>
        </w:rPr>
        <w:t>:</w:t>
      </w:r>
      <w:r w:rsidRPr="00985103">
        <w:rPr>
          <w:szCs w:val="24"/>
        </w:rPr>
        <w:t xml:space="preserve"> teleology</w:t>
      </w:r>
      <w:r>
        <w:rPr>
          <w:szCs w:val="24"/>
        </w:rPr>
        <w:t xml:space="preserve">, functionalism </w:t>
      </w:r>
      <w:r w:rsidRPr="00985103">
        <w:rPr>
          <w:szCs w:val="24"/>
        </w:rPr>
        <w:t xml:space="preserve">and Being. Those </w:t>
      </w:r>
      <w:r>
        <w:rPr>
          <w:szCs w:val="24"/>
        </w:rPr>
        <w:t xml:space="preserve">ontological </w:t>
      </w:r>
      <w:r w:rsidRPr="00985103">
        <w:rPr>
          <w:szCs w:val="24"/>
        </w:rPr>
        <w:t xml:space="preserve">premises are revealed by these </w:t>
      </w:r>
      <w:r>
        <w:rPr>
          <w:szCs w:val="24"/>
        </w:rPr>
        <w:t>(</w:t>
      </w:r>
      <w:r w:rsidRPr="00985103">
        <w:rPr>
          <w:szCs w:val="24"/>
        </w:rPr>
        <w:t>typical</w:t>
      </w:r>
      <w:r>
        <w:rPr>
          <w:szCs w:val="24"/>
        </w:rPr>
        <w:t>)</w:t>
      </w:r>
      <w:r w:rsidRPr="00985103">
        <w:rPr>
          <w:szCs w:val="24"/>
        </w:rPr>
        <w:t xml:space="preserve"> </w:t>
      </w:r>
      <w:r>
        <w:rPr>
          <w:szCs w:val="24"/>
        </w:rPr>
        <w:t>Q&amp;A</w:t>
      </w:r>
      <w:r w:rsidRPr="00985103">
        <w:rPr>
          <w:szCs w:val="24"/>
        </w:rPr>
        <w:t>s about plant signalling:</w:t>
      </w:r>
    </w:p>
    <w:p w:rsidR="002D463E" w:rsidRPr="00985103" w:rsidRDefault="002D463E" w:rsidP="002D463E">
      <w:pPr>
        <w:autoSpaceDE w:val="0"/>
        <w:autoSpaceDN w:val="0"/>
        <w:adjustRightInd w:val="0"/>
        <w:rPr>
          <w:szCs w:val="24"/>
        </w:rPr>
      </w:pPr>
    </w:p>
    <w:p w:rsidR="002D463E" w:rsidRDefault="002D463E" w:rsidP="000946BF">
      <w:pPr>
        <w:numPr>
          <w:ilvl w:val="0"/>
          <w:numId w:val="4"/>
        </w:numPr>
        <w:autoSpaceDE w:val="0"/>
        <w:autoSpaceDN w:val="0"/>
        <w:adjustRightInd w:val="0"/>
        <w:ind w:left="737"/>
        <w:rPr>
          <w:szCs w:val="24"/>
        </w:rPr>
      </w:pPr>
      <w:r w:rsidRPr="00985103">
        <w:rPr>
          <w:i/>
          <w:szCs w:val="24"/>
        </w:rPr>
        <w:t xml:space="preserve">What </w:t>
      </w:r>
      <w:r w:rsidRPr="00985103">
        <w:rPr>
          <w:szCs w:val="24"/>
        </w:rPr>
        <w:t>actually happens? Plants hav</w:t>
      </w:r>
      <w:r>
        <w:rPr>
          <w:szCs w:val="24"/>
        </w:rPr>
        <w:t>e a “volative profile”</w:t>
      </w:r>
      <w:r w:rsidRPr="00985103">
        <w:rPr>
          <w:szCs w:val="24"/>
        </w:rPr>
        <w:t xml:space="preserve"> (“VOC”) which is a kind of chemical finge</w:t>
      </w:r>
      <w:r>
        <w:rPr>
          <w:szCs w:val="24"/>
        </w:rPr>
        <w:t>rprint made up of possibly hundreds</w:t>
      </w:r>
      <w:r w:rsidRPr="00985103">
        <w:rPr>
          <w:szCs w:val="24"/>
        </w:rPr>
        <w:t xml:space="preserve"> of different chemicals which it gives off in a resting state, and, when a plant is stressed (it is being eaten by bugs like aphids, or encroached upon by couch grass, or shaded or thirsty or even mechanically damaged) its volative profile changes. </w:t>
      </w:r>
    </w:p>
    <w:p w:rsidR="002D463E" w:rsidRDefault="002D463E" w:rsidP="000946BF">
      <w:pPr>
        <w:numPr>
          <w:ilvl w:val="0"/>
          <w:numId w:val="4"/>
        </w:numPr>
        <w:autoSpaceDE w:val="0"/>
        <w:autoSpaceDN w:val="0"/>
        <w:adjustRightInd w:val="0"/>
        <w:ind w:left="737"/>
        <w:rPr>
          <w:szCs w:val="24"/>
        </w:rPr>
      </w:pPr>
      <w:r w:rsidRPr="00985103">
        <w:rPr>
          <w:i/>
          <w:szCs w:val="24"/>
        </w:rPr>
        <w:t>What is it</w:t>
      </w:r>
      <w:r>
        <w:rPr>
          <w:i/>
          <w:szCs w:val="24"/>
        </w:rPr>
        <w:t>?</w:t>
      </w:r>
      <w:r w:rsidRPr="00985103">
        <w:rPr>
          <w:szCs w:val="24"/>
        </w:rPr>
        <w:t xml:space="preserve"> </w:t>
      </w:r>
      <w:r>
        <w:rPr>
          <w:szCs w:val="24"/>
        </w:rPr>
        <w:t>A</w:t>
      </w:r>
      <w:r w:rsidRPr="00985103">
        <w:rPr>
          <w:szCs w:val="24"/>
        </w:rPr>
        <w:t xml:space="preserve"> plant’s immune response, since the new volatile chemicals attract natural enemies to the bugs that are eating it or the weeds that are encroaching upon it</w:t>
      </w:r>
      <w:r>
        <w:rPr>
          <w:szCs w:val="24"/>
        </w:rPr>
        <w:t>.</w:t>
      </w:r>
    </w:p>
    <w:p w:rsidR="002D463E" w:rsidRPr="00985103" w:rsidRDefault="002D463E" w:rsidP="000946BF">
      <w:pPr>
        <w:numPr>
          <w:ilvl w:val="0"/>
          <w:numId w:val="4"/>
        </w:numPr>
        <w:autoSpaceDE w:val="0"/>
        <w:autoSpaceDN w:val="0"/>
        <w:adjustRightInd w:val="0"/>
        <w:ind w:left="737"/>
        <w:rPr>
          <w:szCs w:val="24"/>
        </w:rPr>
      </w:pPr>
      <w:r w:rsidRPr="00985103">
        <w:rPr>
          <w:i/>
          <w:szCs w:val="24"/>
        </w:rPr>
        <w:t>Why</w:t>
      </w:r>
      <w:r w:rsidRPr="00985103">
        <w:rPr>
          <w:szCs w:val="24"/>
        </w:rPr>
        <w:t xml:space="preserve"> would a plant “communicate”? </w:t>
      </w:r>
      <w:r>
        <w:rPr>
          <w:szCs w:val="24"/>
        </w:rPr>
        <w:t>I</w:t>
      </w:r>
      <w:r w:rsidRPr="00985103">
        <w:rPr>
          <w:szCs w:val="24"/>
        </w:rPr>
        <w:t>n reaction to an alien invasion</w:t>
      </w:r>
      <w:r>
        <w:rPr>
          <w:szCs w:val="24"/>
        </w:rPr>
        <w:t xml:space="preserve">, as a protective mechanism. </w:t>
      </w:r>
      <w:r w:rsidRPr="00985103">
        <w:rPr>
          <w:szCs w:val="24"/>
        </w:rPr>
        <w:t>This chemical shift comes at an energy cost to the plant</w:t>
      </w:r>
      <w:r>
        <w:rPr>
          <w:szCs w:val="24"/>
        </w:rPr>
        <w:t>, so even if the individual plant is sacrificed, the mechanism serves t</w:t>
      </w:r>
      <w:r w:rsidRPr="00985103">
        <w:rPr>
          <w:szCs w:val="24"/>
        </w:rPr>
        <w:t>o increase the reproductive fitness of its type: kin selection.</w:t>
      </w:r>
      <w:r>
        <w:rPr>
          <w:szCs w:val="24"/>
        </w:rPr>
        <w:t xml:space="preserve"> </w:t>
      </w:r>
    </w:p>
    <w:p w:rsidR="002D463E" w:rsidRPr="00985103" w:rsidRDefault="002D463E" w:rsidP="000946BF">
      <w:pPr>
        <w:numPr>
          <w:ilvl w:val="0"/>
          <w:numId w:val="4"/>
        </w:numPr>
        <w:autoSpaceDE w:val="0"/>
        <w:autoSpaceDN w:val="0"/>
        <w:adjustRightInd w:val="0"/>
        <w:ind w:left="737"/>
        <w:rPr>
          <w:szCs w:val="24"/>
        </w:rPr>
      </w:pPr>
      <w:r w:rsidRPr="00985103">
        <w:rPr>
          <w:szCs w:val="24"/>
        </w:rPr>
        <w:t xml:space="preserve"> </w:t>
      </w:r>
      <w:r>
        <w:rPr>
          <w:i/>
          <w:szCs w:val="24"/>
        </w:rPr>
        <w:t>Which direction</w:t>
      </w:r>
      <w:r w:rsidRPr="00985103">
        <w:rPr>
          <w:szCs w:val="24"/>
        </w:rPr>
        <w:t xml:space="preserve"> does signaling </w:t>
      </w:r>
      <w:r>
        <w:rPr>
          <w:szCs w:val="24"/>
        </w:rPr>
        <w:t>move</w:t>
      </w:r>
      <w:r w:rsidRPr="00985103">
        <w:rPr>
          <w:szCs w:val="24"/>
        </w:rPr>
        <w:t xml:space="preserve">? From the inside </w:t>
      </w:r>
      <w:r>
        <w:rPr>
          <w:szCs w:val="24"/>
        </w:rPr>
        <w:t xml:space="preserve">of individual plants, and </w:t>
      </w:r>
      <w:r w:rsidRPr="00985103">
        <w:rPr>
          <w:szCs w:val="24"/>
        </w:rPr>
        <w:t>out</w:t>
      </w:r>
      <w:r>
        <w:rPr>
          <w:szCs w:val="24"/>
        </w:rPr>
        <w:t>ward</w:t>
      </w:r>
      <w:r w:rsidRPr="00985103">
        <w:rPr>
          <w:szCs w:val="24"/>
        </w:rPr>
        <w:t xml:space="preserve"> </w:t>
      </w:r>
      <w:r>
        <w:rPr>
          <w:szCs w:val="24"/>
        </w:rPr>
        <w:t xml:space="preserve">according to the natural law that </w:t>
      </w:r>
      <w:r w:rsidRPr="00280D71">
        <w:rPr>
          <w:szCs w:val="24"/>
        </w:rPr>
        <w:t>“requires it to grow and develop itself on all sides, according to the tendency of the inward forces which make it a living thing</w:t>
      </w:r>
      <w:r>
        <w:rPr>
          <w:szCs w:val="24"/>
        </w:rPr>
        <w:t>” (Mill, 1956: 72).</w:t>
      </w:r>
    </w:p>
    <w:p w:rsidR="002D463E" w:rsidRPr="00985103" w:rsidRDefault="002D463E" w:rsidP="000946BF">
      <w:pPr>
        <w:numPr>
          <w:ilvl w:val="0"/>
          <w:numId w:val="4"/>
        </w:numPr>
        <w:autoSpaceDE w:val="0"/>
        <w:autoSpaceDN w:val="0"/>
        <w:adjustRightInd w:val="0"/>
        <w:ind w:left="737"/>
        <w:rPr>
          <w:szCs w:val="24"/>
        </w:rPr>
      </w:pPr>
      <w:r w:rsidRPr="00985103">
        <w:rPr>
          <w:i/>
          <w:szCs w:val="24"/>
        </w:rPr>
        <w:t xml:space="preserve"> Where </w:t>
      </w:r>
      <w:r>
        <w:rPr>
          <w:szCs w:val="24"/>
        </w:rPr>
        <w:t>does communication “happen”</w:t>
      </w:r>
      <w:r w:rsidRPr="00985103">
        <w:rPr>
          <w:szCs w:val="24"/>
        </w:rPr>
        <w:t xml:space="preserve">? On the surface of the </w:t>
      </w:r>
      <w:r>
        <w:rPr>
          <w:szCs w:val="24"/>
        </w:rPr>
        <w:t xml:space="preserve">leaf and flower </w:t>
      </w:r>
      <w:r w:rsidRPr="00985103">
        <w:rPr>
          <w:szCs w:val="24"/>
        </w:rPr>
        <w:t>cells by virtue of chemicals which have travelled thr</w:t>
      </w:r>
      <w:r>
        <w:rPr>
          <w:szCs w:val="24"/>
        </w:rPr>
        <w:t xml:space="preserve">ough the air toward it. </w:t>
      </w:r>
      <w:r w:rsidRPr="00985103">
        <w:rPr>
          <w:szCs w:val="24"/>
        </w:rPr>
        <w:t xml:space="preserve">  </w:t>
      </w:r>
    </w:p>
    <w:p w:rsidR="002D463E" w:rsidRPr="00985103" w:rsidRDefault="002D463E" w:rsidP="002D463E">
      <w:pPr>
        <w:autoSpaceDE w:val="0"/>
        <w:autoSpaceDN w:val="0"/>
        <w:adjustRightInd w:val="0"/>
        <w:rPr>
          <w:szCs w:val="24"/>
        </w:rPr>
      </w:pPr>
    </w:p>
    <w:p w:rsidR="002D463E" w:rsidRDefault="002D463E" w:rsidP="002D463E">
      <w:pPr>
        <w:autoSpaceDE w:val="0"/>
        <w:autoSpaceDN w:val="0"/>
        <w:adjustRightInd w:val="0"/>
        <w:rPr>
          <w:szCs w:val="24"/>
        </w:rPr>
      </w:pPr>
      <w:r>
        <w:rPr>
          <w:szCs w:val="24"/>
        </w:rPr>
        <w:t xml:space="preserve">If we stopped </w:t>
      </w:r>
      <w:r w:rsidRPr="00985103">
        <w:rPr>
          <w:szCs w:val="24"/>
        </w:rPr>
        <w:t xml:space="preserve">here </w:t>
      </w:r>
      <w:r>
        <w:rPr>
          <w:szCs w:val="24"/>
        </w:rPr>
        <w:t xml:space="preserve">those of us unfamiliar with this phenomenon </w:t>
      </w:r>
      <w:r w:rsidRPr="00985103">
        <w:rPr>
          <w:szCs w:val="24"/>
        </w:rPr>
        <w:t xml:space="preserve">might go away surprised and impressed by </w:t>
      </w:r>
      <w:r>
        <w:rPr>
          <w:szCs w:val="24"/>
        </w:rPr>
        <w:t>the fact that plants have a “self-defense</w:t>
      </w:r>
      <w:r w:rsidRPr="00985103">
        <w:rPr>
          <w:szCs w:val="24"/>
        </w:rPr>
        <w:t xml:space="preserve"> system</w:t>
      </w:r>
      <w:r>
        <w:rPr>
          <w:szCs w:val="24"/>
        </w:rPr>
        <w:t>” (Karban and Shiojiri, 2009) and a capacity to communicate.</w:t>
      </w:r>
      <w:r w:rsidRPr="00985103">
        <w:rPr>
          <w:szCs w:val="24"/>
        </w:rPr>
        <w:t xml:space="preserve"> </w:t>
      </w:r>
    </w:p>
    <w:p w:rsidR="002D463E" w:rsidRDefault="002D463E" w:rsidP="002D463E">
      <w:pPr>
        <w:autoSpaceDE w:val="0"/>
        <w:autoSpaceDN w:val="0"/>
        <w:adjustRightInd w:val="0"/>
        <w:rPr>
          <w:szCs w:val="24"/>
        </w:rPr>
      </w:pPr>
    </w:p>
    <w:p w:rsidR="002D463E" w:rsidRDefault="002D463E" w:rsidP="002D463E">
      <w:pPr>
        <w:autoSpaceDE w:val="0"/>
        <w:autoSpaceDN w:val="0"/>
        <w:adjustRightInd w:val="0"/>
        <w:rPr>
          <w:szCs w:val="24"/>
        </w:rPr>
      </w:pPr>
      <w:r w:rsidRPr="00985103">
        <w:rPr>
          <w:szCs w:val="24"/>
        </w:rPr>
        <w:t>But</w:t>
      </w:r>
      <w:r>
        <w:rPr>
          <w:szCs w:val="24"/>
        </w:rPr>
        <w:t>,</w:t>
      </w:r>
      <w:r w:rsidRPr="00985103">
        <w:rPr>
          <w:szCs w:val="24"/>
        </w:rPr>
        <w:t xml:space="preserve"> consider the following </w:t>
      </w:r>
      <w:r>
        <w:rPr>
          <w:szCs w:val="24"/>
        </w:rPr>
        <w:t xml:space="preserve">summary </w:t>
      </w:r>
      <w:r w:rsidRPr="00985103">
        <w:rPr>
          <w:szCs w:val="24"/>
        </w:rPr>
        <w:t>statement by t</w:t>
      </w:r>
      <w:r>
        <w:rPr>
          <w:szCs w:val="24"/>
        </w:rPr>
        <w:t>wo</w:t>
      </w:r>
      <w:r w:rsidRPr="00985103">
        <w:rPr>
          <w:szCs w:val="24"/>
        </w:rPr>
        <w:t xml:space="preserve"> leading scientists in the field, </w:t>
      </w:r>
      <w:r>
        <w:rPr>
          <w:szCs w:val="24"/>
        </w:rPr>
        <w:t xml:space="preserve">Martin </w:t>
      </w:r>
      <w:r w:rsidRPr="00985103">
        <w:rPr>
          <w:szCs w:val="24"/>
        </w:rPr>
        <w:t xml:space="preserve">Heil and </w:t>
      </w:r>
      <w:r>
        <w:rPr>
          <w:szCs w:val="24"/>
        </w:rPr>
        <w:t xml:space="preserve">Richard </w:t>
      </w:r>
      <w:r w:rsidRPr="00985103">
        <w:rPr>
          <w:szCs w:val="24"/>
        </w:rPr>
        <w:t>Karban</w:t>
      </w:r>
      <w:r>
        <w:rPr>
          <w:szCs w:val="24"/>
        </w:rPr>
        <w:t>:</w:t>
      </w:r>
    </w:p>
    <w:p w:rsidR="002D463E" w:rsidRDefault="002D463E" w:rsidP="002D463E">
      <w:pPr>
        <w:autoSpaceDE w:val="0"/>
        <w:autoSpaceDN w:val="0"/>
        <w:adjustRightInd w:val="0"/>
        <w:rPr>
          <w:szCs w:val="24"/>
        </w:rPr>
      </w:pPr>
    </w:p>
    <w:p w:rsidR="002D463E" w:rsidRPr="0002390F" w:rsidRDefault="002D463E" w:rsidP="002D463E">
      <w:pPr>
        <w:autoSpaceDE w:val="0"/>
        <w:autoSpaceDN w:val="0"/>
        <w:adjustRightInd w:val="0"/>
        <w:ind w:left="737" w:right="737"/>
        <w:rPr>
          <w:color w:val="000000"/>
          <w:szCs w:val="24"/>
        </w:rPr>
      </w:pPr>
      <w:r>
        <w:rPr>
          <w:color w:val="000000"/>
          <w:szCs w:val="24"/>
        </w:rPr>
        <w:t>…</w:t>
      </w:r>
      <w:r w:rsidRPr="0002390F">
        <w:rPr>
          <w:color w:val="000000"/>
          <w:szCs w:val="24"/>
        </w:rPr>
        <w:t>there are theories at hand that could explain the evolution of emitting airborne signals but there is a lack of empirical data to test them. It is known empirically that plants can perceive VOCs but there are no theoretical models to understand the evolutionary origin of this capacity, neither is it known how volatiles are perceived and translated into signals. Even after accepting plant–plant signaling via airborne cues as a physiological possibility, many researchers have doubted its ecological relevance…</w:t>
      </w:r>
      <w:r>
        <w:rPr>
          <w:color w:val="000000"/>
          <w:szCs w:val="24"/>
        </w:rPr>
        <w:t xml:space="preserve"> (2009: 142).</w:t>
      </w:r>
      <w:r w:rsidRPr="0002390F">
        <w:rPr>
          <w:color w:val="000000"/>
          <w:szCs w:val="24"/>
        </w:rPr>
        <w:t xml:space="preserve"> </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pStyle w:val="InsideAddress"/>
        <w:spacing w:line="360" w:lineRule="auto"/>
        <w:rPr>
          <w:rFonts w:ascii="Times New Roman" w:hAnsi="Times New Roman"/>
          <w:sz w:val="24"/>
          <w:szCs w:val="24"/>
        </w:rPr>
      </w:pPr>
      <w:r>
        <w:rPr>
          <w:rFonts w:ascii="Times New Roman" w:hAnsi="Times New Roman"/>
          <w:sz w:val="24"/>
          <w:szCs w:val="24"/>
        </w:rPr>
        <w:t>Clearly, there is more of a mystery afoot than the question-and-answer session above, suggests. In the next section I</w:t>
      </w:r>
      <w:r w:rsidRPr="00985103">
        <w:rPr>
          <w:rFonts w:ascii="Times New Roman" w:hAnsi="Times New Roman"/>
          <w:sz w:val="24"/>
          <w:szCs w:val="24"/>
        </w:rPr>
        <w:t xml:space="preserve"> am going to walk us through six observations which </w:t>
      </w:r>
      <w:r>
        <w:rPr>
          <w:rFonts w:ascii="Times New Roman" w:hAnsi="Times New Roman"/>
          <w:sz w:val="24"/>
          <w:szCs w:val="24"/>
        </w:rPr>
        <w:t>contribute to</w:t>
      </w:r>
      <w:r w:rsidRPr="00985103">
        <w:rPr>
          <w:rFonts w:ascii="Times New Roman" w:hAnsi="Times New Roman"/>
          <w:sz w:val="24"/>
          <w:szCs w:val="24"/>
        </w:rPr>
        <w:t xml:space="preserve"> Heil and Karban</w:t>
      </w:r>
      <w:r>
        <w:rPr>
          <w:rFonts w:ascii="Times New Roman" w:hAnsi="Times New Roman"/>
          <w:sz w:val="24"/>
          <w:szCs w:val="24"/>
        </w:rPr>
        <w:t>’s view</w:t>
      </w:r>
      <w:r w:rsidRPr="00985103">
        <w:rPr>
          <w:rFonts w:ascii="Times New Roman" w:hAnsi="Times New Roman"/>
          <w:sz w:val="24"/>
          <w:szCs w:val="24"/>
        </w:rPr>
        <w:t xml:space="preserve">. I will </w:t>
      </w:r>
      <w:r>
        <w:rPr>
          <w:rFonts w:ascii="Times New Roman" w:hAnsi="Times New Roman"/>
          <w:sz w:val="24"/>
          <w:szCs w:val="24"/>
        </w:rPr>
        <w:t>identify</w:t>
      </w:r>
      <w:r w:rsidRPr="00985103">
        <w:rPr>
          <w:rFonts w:ascii="Times New Roman" w:hAnsi="Times New Roman"/>
          <w:sz w:val="24"/>
          <w:szCs w:val="24"/>
        </w:rPr>
        <w:t xml:space="preserve"> the starting (ontological) premises and then state </w:t>
      </w:r>
      <w:r>
        <w:rPr>
          <w:rFonts w:ascii="Times New Roman" w:hAnsi="Times New Roman"/>
          <w:sz w:val="24"/>
          <w:szCs w:val="24"/>
        </w:rPr>
        <w:t xml:space="preserve">what I think is a </w:t>
      </w:r>
      <w:r w:rsidRPr="00985103">
        <w:rPr>
          <w:rFonts w:ascii="Times New Roman" w:hAnsi="Times New Roman"/>
          <w:sz w:val="24"/>
          <w:szCs w:val="24"/>
        </w:rPr>
        <w:t>more viable premise</w:t>
      </w:r>
      <w:r>
        <w:rPr>
          <w:rFonts w:ascii="Times New Roman" w:hAnsi="Times New Roman"/>
          <w:sz w:val="24"/>
          <w:szCs w:val="24"/>
        </w:rPr>
        <w:t xml:space="preserve"> as is </w:t>
      </w:r>
      <w:r w:rsidRPr="00985103">
        <w:rPr>
          <w:rFonts w:ascii="Times New Roman" w:hAnsi="Times New Roman"/>
          <w:sz w:val="24"/>
          <w:szCs w:val="24"/>
        </w:rPr>
        <w:t>implied</w:t>
      </w:r>
      <w:r>
        <w:rPr>
          <w:rFonts w:ascii="Times New Roman" w:hAnsi="Times New Roman"/>
          <w:sz w:val="24"/>
          <w:szCs w:val="24"/>
        </w:rPr>
        <w:t xml:space="preserve"> by the observation</w:t>
      </w:r>
      <w:r w:rsidRPr="00985103">
        <w:rPr>
          <w:rFonts w:ascii="Times New Roman" w:hAnsi="Times New Roman"/>
          <w:sz w:val="24"/>
          <w:szCs w:val="24"/>
        </w:rPr>
        <w:t xml:space="preserve">. Taken together, these </w:t>
      </w:r>
      <w:r>
        <w:rPr>
          <w:rFonts w:ascii="Times New Roman" w:hAnsi="Times New Roman"/>
          <w:sz w:val="24"/>
          <w:szCs w:val="24"/>
        </w:rPr>
        <w:t xml:space="preserve">facets </w:t>
      </w:r>
      <w:r w:rsidRPr="00985103">
        <w:rPr>
          <w:rFonts w:ascii="Times New Roman" w:hAnsi="Times New Roman"/>
          <w:sz w:val="24"/>
          <w:szCs w:val="24"/>
        </w:rPr>
        <w:t xml:space="preserve">express </w:t>
      </w:r>
      <w:r>
        <w:rPr>
          <w:rFonts w:ascii="Times New Roman" w:hAnsi="Times New Roman"/>
          <w:sz w:val="24"/>
          <w:szCs w:val="24"/>
        </w:rPr>
        <w:t xml:space="preserve">a quality of the unique </w:t>
      </w:r>
      <w:r w:rsidRPr="00985103">
        <w:rPr>
          <w:rFonts w:ascii="Times New Roman" w:hAnsi="Times New Roman"/>
          <w:sz w:val="24"/>
          <w:szCs w:val="24"/>
        </w:rPr>
        <w:t>becoming</w:t>
      </w:r>
      <w:r>
        <w:rPr>
          <w:rFonts w:ascii="Times New Roman" w:hAnsi="Times New Roman"/>
          <w:sz w:val="24"/>
          <w:szCs w:val="24"/>
        </w:rPr>
        <w:t xml:space="preserve"> that is becoming-plant</w:t>
      </w:r>
      <w:r w:rsidRPr="00985103">
        <w:rPr>
          <w:rFonts w:ascii="Times New Roman" w:hAnsi="Times New Roman"/>
          <w:sz w:val="24"/>
          <w:szCs w:val="24"/>
        </w:rPr>
        <w:t xml:space="preserve">.  </w:t>
      </w:r>
    </w:p>
    <w:p w:rsidR="002D463E" w:rsidRPr="00985103" w:rsidRDefault="002D463E" w:rsidP="002D463E">
      <w:pPr>
        <w:pStyle w:val="InsideAddress"/>
        <w:spacing w:line="360" w:lineRule="auto"/>
        <w:rPr>
          <w:rFonts w:ascii="Times New Roman" w:hAnsi="Times New Roman"/>
          <w:b/>
          <w:sz w:val="24"/>
          <w:szCs w:val="24"/>
          <w:u w:val="single"/>
        </w:rPr>
      </w:pPr>
    </w:p>
    <w:p w:rsidR="002D463E" w:rsidRPr="00FC5F2D" w:rsidRDefault="002D463E" w:rsidP="002D463E">
      <w:pPr>
        <w:pStyle w:val="InsideAddress"/>
        <w:spacing w:line="360" w:lineRule="auto"/>
        <w:rPr>
          <w:rFonts w:ascii="Times New Roman" w:hAnsi="Times New Roman"/>
          <w:b/>
          <w:i/>
          <w:sz w:val="24"/>
          <w:szCs w:val="24"/>
        </w:rPr>
      </w:pPr>
      <w:r w:rsidRPr="00FC5F2D">
        <w:rPr>
          <w:rFonts w:ascii="Times New Roman" w:hAnsi="Times New Roman"/>
          <w:b/>
          <w:sz w:val="24"/>
          <w:szCs w:val="24"/>
        </w:rPr>
        <w:t>I.</w:t>
      </w:r>
      <w:r w:rsidRPr="00FC5F2D">
        <w:rPr>
          <w:rFonts w:ascii="Times New Roman" w:hAnsi="Times New Roman"/>
          <w:b/>
          <w:i/>
          <w:sz w:val="24"/>
          <w:szCs w:val="24"/>
        </w:rPr>
        <w:t xml:space="preserve">  </w:t>
      </w:r>
      <w:r w:rsidRPr="00FC5F2D">
        <w:rPr>
          <w:rFonts w:ascii="Times New Roman" w:hAnsi="Times New Roman"/>
          <w:b/>
          <w:sz w:val="24"/>
          <w:szCs w:val="24"/>
        </w:rPr>
        <w:t>At the level of “the individual” plant, and communicating outward?</w:t>
      </w:r>
    </w:p>
    <w:p w:rsidR="002D463E" w:rsidRPr="00985103" w:rsidRDefault="002D463E" w:rsidP="002D463E">
      <w:pPr>
        <w:pStyle w:val="InsideAddress"/>
        <w:spacing w:line="360" w:lineRule="auto"/>
        <w:rPr>
          <w:rFonts w:ascii="Times New Roman" w:hAnsi="Times New Roman"/>
          <w:b/>
          <w:sz w:val="24"/>
          <w:szCs w:val="24"/>
          <w:u w:val="single"/>
        </w:rPr>
      </w:pPr>
    </w:p>
    <w:p w:rsidR="002D463E" w:rsidRPr="00985103" w:rsidRDefault="002D463E" w:rsidP="002D463E">
      <w:pPr>
        <w:autoSpaceDE w:val="0"/>
        <w:autoSpaceDN w:val="0"/>
        <w:adjustRightInd w:val="0"/>
        <w:rPr>
          <w:szCs w:val="24"/>
        </w:rPr>
      </w:pPr>
      <w:r w:rsidRPr="00985103">
        <w:rPr>
          <w:szCs w:val="24"/>
        </w:rPr>
        <w:t xml:space="preserve">There are two pertinent observations which contest the view that plants are isolated types reacting outward to other plants. </w:t>
      </w:r>
    </w:p>
    <w:p w:rsidR="002D463E" w:rsidRPr="00EA5E49" w:rsidRDefault="002D463E" w:rsidP="002D463E">
      <w:pPr>
        <w:autoSpaceDE w:val="0"/>
        <w:autoSpaceDN w:val="0"/>
        <w:adjustRightInd w:val="0"/>
        <w:rPr>
          <w:szCs w:val="24"/>
        </w:rPr>
      </w:pPr>
    </w:p>
    <w:p w:rsidR="002D463E" w:rsidRPr="00EA5E49" w:rsidRDefault="002D463E" w:rsidP="002D463E">
      <w:pPr>
        <w:autoSpaceDE w:val="0"/>
        <w:autoSpaceDN w:val="0"/>
        <w:adjustRightInd w:val="0"/>
        <w:rPr>
          <w:szCs w:val="24"/>
        </w:rPr>
      </w:pPr>
      <w:r w:rsidRPr="00EA5E49">
        <w:rPr>
          <w:szCs w:val="24"/>
        </w:rPr>
        <w:t xml:space="preserve">First, it turns out that the chemical profile of a plant is often totally unique to </w:t>
      </w:r>
      <w:r w:rsidRPr="00EA5E49">
        <w:rPr>
          <w:i/>
          <w:szCs w:val="24"/>
        </w:rPr>
        <w:t>that individual plant</w:t>
      </w:r>
      <w:r w:rsidRPr="00EA5E49">
        <w:rPr>
          <w:szCs w:val="24"/>
        </w:rPr>
        <w:t>. There does not seem to be a simple or generic “chemical fingerprint” for, say, barley or corn in general. “All plants release volatile chemicals, and the chemical profile from different plants is different and can be specific to that plant”</w:t>
      </w:r>
      <w:r>
        <w:rPr>
          <w:szCs w:val="24"/>
        </w:rPr>
        <w:t xml:space="preserve"> (Dewhirst and</w:t>
      </w:r>
      <w:r w:rsidRPr="00EA5E49">
        <w:rPr>
          <w:szCs w:val="24"/>
        </w:rPr>
        <w:t xml:space="preserve"> Pickett</w:t>
      </w:r>
      <w:r>
        <w:rPr>
          <w:szCs w:val="24"/>
        </w:rPr>
        <w:t>,</w:t>
      </w:r>
      <w:r w:rsidRPr="00EA5E49">
        <w:rPr>
          <w:szCs w:val="24"/>
        </w:rPr>
        <w:t xml:space="preserve"> 2010: 89).  This observation complicates the basic assumption that, in signa</w:t>
      </w:r>
      <w:r>
        <w:rPr>
          <w:szCs w:val="24"/>
        </w:rPr>
        <w:t>l</w:t>
      </w:r>
      <w:r w:rsidRPr="00EA5E49">
        <w:rPr>
          <w:szCs w:val="24"/>
        </w:rPr>
        <w:t xml:space="preserve">ing, a plant is acting as a genetic </w:t>
      </w:r>
      <w:r w:rsidRPr="00EA5E49">
        <w:rPr>
          <w:i/>
          <w:szCs w:val="24"/>
        </w:rPr>
        <w:t>type</w:t>
      </w:r>
      <w:r w:rsidRPr="00EA5E49">
        <w:rPr>
          <w:szCs w:val="24"/>
        </w:rPr>
        <w:t xml:space="preserve">. </w:t>
      </w:r>
    </w:p>
    <w:p w:rsidR="002D463E" w:rsidRDefault="002D463E" w:rsidP="002D463E">
      <w:pPr>
        <w:autoSpaceDE w:val="0"/>
        <w:autoSpaceDN w:val="0"/>
        <w:adjustRightInd w:val="0"/>
        <w:rPr>
          <w:szCs w:val="24"/>
        </w:rPr>
      </w:pPr>
    </w:p>
    <w:p w:rsidR="002D463E" w:rsidRDefault="002D463E" w:rsidP="002D463E">
      <w:pPr>
        <w:autoSpaceDE w:val="0"/>
        <w:autoSpaceDN w:val="0"/>
        <w:adjustRightInd w:val="0"/>
        <w:rPr>
          <w:szCs w:val="24"/>
        </w:rPr>
      </w:pPr>
      <w:r w:rsidRPr="00EA5E49">
        <w:rPr>
          <w:szCs w:val="24"/>
        </w:rPr>
        <w:t>Second, even a given individual plant’s volative profile changes in different ways depending on what kind of stress it endures: if it is mechanically attacked it gives off a</w:t>
      </w:r>
      <w:r>
        <w:rPr>
          <w:szCs w:val="24"/>
        </w:rPr>
        <w:t xml:space="preserve"> “</w:t>
      </w:r>
      <w:r w:rsidRPr="00EA5E49">
        <w:rPr>
          <w:szCs w:val="24"/>
        </w:rPr>
        <w:t>wound signal</w:t>
      </w:r>
      <w:r>
        <w:rPr>
          <w:szCs w:val="24"/>
        </w:rPr>
        <w:t>;”</w:t>
      </w:r>
      <w:r w:rsidRPr="00EA5E49">
        <w:rPr>
          <w:szCs w:val="24"/>
        </w:rPr>
        <w:t xml:space="preserve"> </w:t>
      </w:r>
      <w:r>
        <w:rPr>
          <w:szCs w:val="24"/>
        </w:rPr>
        <w:t>i</w:t>
      </w:r>
      <w:r w:rsidRPr="00EA5E49">
        <w:rPr>
          <w:szCs w:val="24"/>
        </w:rPr>
        <w:t>f it is attacked by an insect, another type of signal</w:t>
      </w:r>
      <w:r>
        <w:rPr>
          <w:szCs w:val="24"/>
        </w:rPr>
        <w:t>; and if</w:t>
      </w:r>
      <w:r w:rsidRPr="00EA5E49">
        <w:rPr>
          <w:szCs w:val="24"/>
        </w:rPr>
        <w:t xml:space="preserve"> </w:t>
      </w:r>
      <w:r>
        <w:rPr>
          <w:szCs w:val="24"/>
        </w:rPr>
        <w:t>a</w:t>
      </w:r>
      <w:r w:rsidRPr="00EA5E49">
        <w:rPr>
          <w:szCs w:val="24"/>
        </w:rPr>
        <w:t>not</w:t>
      </w:r>
      <w:r>
        <w:rPr>
          <w:szCs w:val="24"/>
        </w:rPr>
        <w:t>her kind of insect, yet another type of signal (Dewhirst and</w:t>
      </w:r>
      <w:r w:rsidRPr="00EA5E49">
        <w:rPr>
          <w:szCs w:val="24"/>
        </w:rPr>
        <w:t xml:space="preserve"> Pickett 2010: 90).  This forces us to imagine not only that plants are individuals, but that these  individuals are continuously co-evolving </w:t>
      </w:r>
      <w:r w:rsidRPr="00EA5E49">
        <w:rPr>
          <w:i/>
          <w:szCs w:val="24"/>
        </w:rPr>
        <w:t>with</w:t>
      </w:r>
      <w:r w:rsidRPr="00EA5E49">
        <w:rPr>
          <w:szCs w:val="24"/>
        </w:rPr>
        <w:t xml:space="preserve">, and </w:t>
      </w:r>
      <w:r w:rsidRPr="00EA5E49">
        <w:rPr>
          <w:i/>
          <w:szCs w:val="24"/>
        </w:rPr>
        <w:t>in</w:t>
      </w:r>
      <w:r w:rsidRPr="00EA5E49">
        <w:rPr>
          <w:szCs w:val="24"/>
        </w:rPr>
        <w:t>, varying environmental relations which themselves are evolving in complex ways.  Plants are not in any meaningful way beings in isolation from an externality which is configurable as secondary or alien, toward which they must move, and against which they need immunity.</w:t>
      </w:r>
      <w:r w:rsidRPr="00EA5E49">
        <w:rPr>
          <w:rStyle w:val="FootnoteReference"/>
          <w:szCs w:val="24"/>
        </w:rPr>
        <w:footnoteReference w:id="28"/>
      </w:r>
      <w:r w:rsidRPr="00EA5E49">
        <w:rPr>
          <w:szCs w:val="24"/>
        </w:rPr>
        <w:t xml:space="preserve"> So-called generic types are real individuals, and those so-called individuals are always already </w:t>
      </w:r>
      <w:r w:rsidRPr="00EA5E49">
        <w:rPr>
          <w:i/>
          <w:szCs w:val="24"/>
        </w:rPr>
        <w:t>in</w:t>
      </w:r>
      <w:r w:rsidRPr="00EA5E49">
        <w:rPr>
          <w:szCs w:val="24"/>
        </w:rPr>
        <w:t xml:space="preserve"> and with </w:t>
      </w:r>
      <w:r w:rsidRPr="00EA5E49">
        <w:rPr>
          <w:i/>
          <w:szCs w:val="24"/>
        </w:rPr>
        <w:t>fluid non-additive relations</w:t>
      </w:r>
      <w:r w:rsidRPr="00EA5E49">
        <w:rPr>
          <w:szCs w:val="24"/>
        </w:rPr>
        <w:t xml:space="preserve"> (Cahill et al.</w:t>
      </w:r>
      <w:r>
        <w:rPr>
          <w:szCs w:val="24"/>
        </w:rPr>
        <w:t>,</w:t>
      </w:r>
      <w:r w:rsidRPr="00EA5E49">
        <w:rPr>
          <w:szCs w:val="24"/>
        </w:rPr>
        <w:t xml:space="preserve"> 2010: 1657) with others. </w:t>
      </w:r>
      <w:r w:rsidRPr="00985103">
        <w:rPr>
          <w:szCs w:val="24"/>
        </w:rPr>
        <w:t>These observations put pressure on the possibility that individual plant organisms are embedded singularities or put otherwise, that the most real and basic indivisible unit (or body) of finite</w:t>
      </w:r>
      <w:r>
        <w:rPr>
          <w:szCs w:val="24"/>
        </w:rPr>
        <w:t xml:space="preserve"> vegetal</w:t>
      </w:r>
      <w:r w:rsidRPr="00985103">
        <w:rPr>
          <w:szCs w:val="24"/>
        </w:rPr>
        <w:t xml:space="preserve"> existence are what Spinoza called </w:t>
      </w:r>
      <w:r>
        <w:rPr>
          <w:szCs w:val="24"/>
        </w:rPr>
        <w:t>“</w:t>
      </w:r>
      <w:r w:rsidRPr="00985103">
        <w:rPr>
          <w:szCs w:val="24"/>
        </w:rPr>
        <w:t>modes</w:t>
      </w:r>
      <w:r>
        <w:rPr>
          <w:szCs w:val="24"/>
        </w:rPr>
        <w:t>,”</w:t>
      </w:r>
      <w:r w:rsidRPr="00985103">
        <w:rPr>
          <w:szCs w:val="24"/>
        </w:rPr>
        <w:t xml:space="preserve"> “particular things that actually exist”</w:t>
      </w:r>
      <w:r>
        <w:rPr>
          <w:szCs w:val="24"/>
        </w:rPr>
        <w:t xml:space="preserve"> (Spinoza, 2000: Part II: Proposition 9)—</w:t>
      </w:r>
      <w:r w:rsidRPr="00985103">
        <w:rPr>
          <w:szCs w:val="24"/>
        </w:rPr>
        <w:t>e</w:t>
      </w:r>
      <w:r>
        <w:rPr>
          <w:szCs w:val="24"/>
        </w:rPr>
        <w:t>ach with its own nature—</w:t>
      </w:r>
      <w:r w:rsidRPr="00985103">
        <w:rPr>
          <w:szCs w:val="24"/>
        </w:rPr>
        <w:t>rather than types or essences</w:t>
      </w:r>
      <w:r>
        <w:rPr>
          <w:szCs w:val="24"/>
        </w:rPr>
        <w:t xml:space="preserve"> (Part II: Definition 1-7), </w:t>
      </w:r>
      <w:r w:rsidRPr="00D2369A">
        <w:rPr>
          <w:szCs w:val="24"/>
        </w:rPr>
        <w:t>and</w:t>
      </w:r>
      <w:r w:rsidRPr="00985103">
        <w:rPr>
          <w:szCs w:val="24"/>
        </w:rPr>
        <w:t xml:space="preserve"> that these singularities are, by necessity, fully immersed in, constituted by, and constituting, a milieu.  </w:t>
      </w:r>
      <w:r w:rsidRPr="00EA5E49">
        <w:rPr>
          <w:szCs w:val="24"/>
        </w:rPr>
        <w:t>“The interplay between</w:t>
      </w:r>
      <w:r>
        <w:rPr>
          <w:szCs w:val="24"/>
        </w:rPr>
        <w:t xml:space="preserve"> </w:t>
      </w:r>
      <w:r w:rsidRPr="00EA5E49">
        <w:rPr>
          <w:szCs w:val="24"/>
        </w:rPr>
        <w:t>plant and environment is a mutual activity</w:t>
      </w:r>
      <w:r>
        <w:rPr>
          <w:szCs w:val="24"/>
        </w:rPr>
        <w:t>” (Willemse, 2009: 2397)</w:t>
      </w:r>
      <w:r w:rsidRPr="00EA5E49">
        <w:rPr>
          <w:szCs w:val="24"/>
        </w:rPr>
        <w:t>.</w:t>
      </w:r>
      <w:r w:rsidRPr="00985103">
        <w:rPr>
          <w:szCs w:val="24"/>
        </w:rPr>
        <w:t xml:space="preserve"> </w:t>
      </w:r>
    </w:p>
    <w:p w:rsidR="002D463E" w:rsidRPr="00985103" w:rsidRDefault="002D463E" w:rsidP="002D463E">
      <w:pPr>
        <w:rPr>
          <w:i/>
          <w:szCs w:val="24"/>
        </w:rPr>
      </w:pPr>
    </w:p>
    <w:p w:rsidR="002D463E" w:rsidRPr="002B69A1" w:rsidRDefault="002D463E" w:rsidP="00E35253">
      <w:pPr>
        <w:pStyle w:val="Heading3"/>
      </w:pPr>
      <w:r>
        <w:t>II.</w:t>
      </w:r>
      <w:r w:rsidRPr="002B69A1">
        <w:t xml:space="preserve"> </w:t>
      </w:r>
      <w:r>
        <w:t>Communication among blood r</w:t>
      </w:r>
      <w:r w:rsidRPr="002B69A1">
        <w:t>elations?</w:t>
      </w:r>
    </w:p>
    <w:p w:rsidR="002D463E" w:rsidRPr="005D3417" w:rsidRDefault="002D463E" w:rsidP="002D463E">
      <w:pPr>
        <w:rPr>
          <w:i/>
          <w:szCs w:val="24"/>
        </w:rPr>
      </w:pPr>
    </w:p>
    <w:p w:rsidR="002D463E" w:rsidRPr="00D84C1B" w:rsidRDefault="002D463E" w:rsidP="002D463E">
      <w:pPr>
        <w:autoSpaceDE w:val="0"/>
        <w:autoSpaceDN w:val="0"/>
        <w:adjustRightInd w:val="0"/>
        <w:rPr>
          <w:color w:val="000000"/>
          <w:szCs w:val="24"/>
        </w:rPr>
      </w:pPr>
      <w:r w:rsidRPr="00D84C1B">
        <w:rPr>
          <w:szCs w:val="24"/>
        </w:rPr>
        <w:t>Across dozens of examples</w:t>
      </w:r>
      <w:r>
        <w:rPr>
          <w:szCs w:val="24"/>
        </w:rPr>
        <w:t xml:space="preserve"> (Heil and</w:t>
      </w:r>
      <w:r w:rsidRPr="00D84C1B">
        <w:rPr>
          <w:szCs w:val="24"/>
        </w:rPr>
        <w:t xml:space="preserve"> Karban</w:t>
      </w:r>
      <w:r>
        <w:rPr>
          <w:szCs w:val="24"/>
        </w:rPr>
        <w:t>,</w:t>
      </w:r>
      <w:r w:rsidRPr="00D84C1B">
        <w:rPr>
          <w:szCs w:val="24"/>
        </w:rPr>
        <w:t xml:space="preserve"> 2009: 138) we see that </w:t>
      </w:r>
      <w:r w:rsidRPr="00D84C1B">
        <w:rPr>
          <w:i/>
          <w:szCs w:val="24"/>
        </w:rPr>
        <w:t>one kind of plant</w:t>
      </w:r>
      <w:r w:rsidRPr="00D84C1B">
        <w:rPr>
          <w:szCs w:val="24"/>
        </w:rPr>
        <w:t xml:space="preserve"> (“plant A”) experiences one kind of stress (“stress X”), and its VOC signals to an </w:t>
      </w:r>
      <w:r w:rsidRPr="00D84C1B">
        <w:rPr>
          <w:i/>
          <w:szCs w:val="24"/>
        </w:rPr>
        <w:t xml:space="preserve">entirely different (genetically unrelated) kind of plant </w:t>
      </w:r>
      <w:r w:rsidRPr="00D84C1B">
        <w:rPr>
          <w:szCs w:val="24"/>
        </w:rPr>
        <w:t>(“plant B”) which enables the second plant to do something which improves its success: mount a defence against some further kind of stress (“Stress Y”)</w:t>
      </w:r>
      <w:r>
        <w:rPr>
          <w:szCs w:val="24"/>
        </w:rPr>
        <w:t>, defences as spectacular as the augmentation or “</w:t>
      </w:r>
      <w:r w:rsidRPr="00D84C1B">
        <w:rPr>
          <w:szCs w:val="24"/>
        </w:rPr>
        <w:t>inhibition of the germination or the development of plants</w:t>
      </w:r>
      <w:r>
        <w:rPr>
          <w:szCs w:val="24"/>
        </w:rPr>
        <w:t xml:space="preserve">” </w:t>
      </w:r>
      <w:r w:rsidRPr="00D84C1B">
        <w:rPr>
          <w:szCs w:val="24"/>
        </w:rPr>
        <w:t>(137)</w:t>
      </w:r>
      <w:r>
        <w:rPr>
          <w:szCs w:val="24"/>
        </w:rPr>
        <w:t>, including stem, leaf or</w:t>
      </w:r>
      <w:r w:rsidRPr="00D84C1B">
        <w:rPr>
          <w:szCs w:val="24"/>
        </w:rPr>
        <w:t xml:space="preserve"> root development (Preston</w:t>
      </w:r>
      <w:r>
        <w:rPr>
          <w:szCs w:val="24"/>
        </w:rPr>
        <w:t>,</w:t>
      </w:r>
      <w:r w:rsidRPr="00D84C1B">
        <w:rPr>
          <w:szCs w:val="24"/>
        </w:rPr>
        <w:t xml:space="preserve"> 2004: 912).  Here is a typical example of the structure of such a mechanism:  </w:t>
      </w:r>
      <w:r w:rsidRPr="00D84C1B">
        <w:rPr>
          <w:i/>
          <w:szCs w:val="24"/>
        </w:rPr>
        <w:t>Sagebrush plants are cut. They give off a volative chemical. This induces resistance in wild tobac</w:t>
      </w:r>
      <w:r>
        <w:rPr>
          <w:i/>
          <w:szCs w:val="24"/>
        </w:rPr>
        <w:t>co to grasshoppers and cutworms</w:t>
      </w:r>
      <w:r w:rsidRPr="00D84C1B">
        <w:rPr>
          <w:i/>
          <w:szCs w:val="24"/>
        </w:rPr>
        <w:t xml:space="preserve"> </w:t>
      </w:r>
      <w:r w:rsidRPr="00D84C1B">
        <w:rPr>
          <w:szCs w:val="24"/>
        </w:rPr>
        <w:t>(Heidel et al.</w:t>
      </w:r>
      <w:r>
        <w:rPr>
          <w:szCs w:val="24"/>
        </w:rPr>
        <w:t>,</w:t>
      </w:r>
      <w:r w:rsidRPr="00D84C1B">
        <w:rPr>
          <w:szCs w:val="24"/>
        </w:rPr>
        <w:t xml:space="preserve"> 2010; Karban et al.</w:t>
      </w:r>
      <w:r>
        <w:rPr>
          <w:szCs w:val="24"/>
        </w:rPr>
        <w:t>,</w:t>
      </w:r>
      <w:r w:rsidRPr="00D84C1B">
        <w:rPr>
          <w:szCs w:val="24"/>
        </w:rPr>
        <w:t xml:space="preserve"> 2000)</w:t>
      </w:r>
      <w:r>
        <w:rPr>
          <w:szCs w:val="24"/>
        </w:rPr>
        <w:t>.</w:t>
      </w:r>
      <w:r w:rsidRPr="00D84C1B">
        <w:rPr>
          <w:szCs w:val="24"/>
        </w:rPr>
        <w:t xml:space="preserve"> Conceptually, we are already talking about communication between</w:t>
      </w:r>
      <w:r w:rsidRPr="00B15D70">
        <w:rPr>
          <w:szCs w:val="24"/>
        </w:rPr>
        <w:t xml:space="preserve"> neighbors</w:t>
      </w:r>
      <w:r w:rsidRPr="00D84C1B">
        <w:rPr>
          <w:szCs w:val="24"/>
        </w:rPr>
        <w:t xml:space="preserve"> and not kin, not blood/sap relations. These inter- rather than intraspecies’ signaling mechanisms still go by the name “plant-plant signaling” but change the story we can tell radically. </w:t>
      </w:r>
      <w:r w:rsidRPr="00D84C1B">
        <w:rPr>
          <w:color w:val="000000"/>
          <w:szCs w:val="24"/>
        </w:rPr>
        <w:t xml:space="preserve">“Data from at least two systems…demonstrate that being related is </w:t>
      </w:r>
      <w:r w:rsidRPr="00D84C1B">
        <w:rPr>
          <w:i/>
          <w:color w:val="000000"/>
          <w:szCs w:val="24"/>
        </w:rPr>
        <w:t>not a prerequisite for communication</w:t>
      </w:r>
      <w:r w:rsidRPr="00D84C1B">
        <w:rPr>
          <w:color w:val="000000"/>
          <w:szCs w:val="24"/>
        </w:rPr>
        <w:t>”</w:t>
      </w:r>
      <w:r>
        <w:rPr>
          <w:color w:val="000000"/>
          <w:szCs w:val="24"/>
        </w:rPr>
        <w:t xml:space="preserve"> (Heil and</w:t>
      </w:r>
      <w:r w:rsidRPr="00D84C1B">
        <w:rPr>
          <w:color w:val="000000"/>
          <w:szCs w:val="24"/>
        </w:rPr>
        <w:t xml:space="preserve"> Karban,</w:t>
      </w:r>
      <w:r>
        <w:rPr>
          <w:color w:val="000000"/>
          <w:szCs w:val="24"/>
        </w:rPr>
        <w:t xml:space="preserve"> 2009: 142, added</w:t>
      </w:r>
      <w:r w:rsidRPr="00D84C1B">
        <w:rPr>
          <w:color w:val="000000"/>
          <w:szCs w:val="24"/>
        </w:rPr>
        <w:t xml:space="preserve"> emphasis)</w:t>
      </w:r>
      <w:r>
        <w:rPr>
          <w:color w:val="000000"/>
          <w:szCs w:val="24"/>
        </w:rPr>
        <w:t>.</w:t>
      </w:r>
      <w:r w:rsidRPr="00D84C1B">
        <w:rPr>
          <w:color w:val="000000"/>
          <w:szCs w:val="24"/>
        </w:rPr>
        <w:t xml:space="preserve"> </w:t>
      </w:r>
    </w:p>
    <w:p w:rsidR="002D463E" w:rsidRPr="00985103" w:rsidRDefault="002D463E" w:rsidP="002D463E">
      <w:pPr>
        <w:pStyle w:val="InsideAddress"/>
        <w:spacing w:line="360" w:lineRule="auto"/>
        <w:rPr>
          <w:rFonts w:ascii="Times New Roman" w:hAnsi="Times New Roman"/>
          <w:i/>
          <w:sz w:val="24"/>
          <w:szCs w:val="24"/>
        </w:rPr>
      </w:pPr>
    </w:p>
    <w:p w:rsidR="002D463E" w:rsidRPr="002B69A1" w:rsidRDefault="002D463E" w:rsidP="00E35253">
      <w:pPr>
        <w:pStyle w:val="Heading3"/>
        <w:rPr>
          <w:i/>
        </w:rPr>
      </w:pPr>
      <w:r>
        <w:t>III</w:t>
      </w:r>
      <w:r w:rsidRPr="002B69A1">
        <w:t xml:space="preserve">. </w:t>
      </w:r>
      <w:r w:rsidRPr="002B69A1">
        <w:rPr>
          <w:i/>
        </w:rPr>
        <w:t>Between</w:t>
      </w:r>
      <w:r>
        <w:t xml:space="preserve"> P</w:t>
      </w:r>
      <w:r w:rsidRPr="002B69A1">
        <w:t xml:space="preserve">lants: Dyadic </w:t>
      </w:r>
      <w:r>
        <w:t>M</w:t>
      </w:r>
      <w:r w:rsidRPr="002B69A1">
        <w:t xml:space="preserve">utualisms? </w:t>
      </w:r>
    </w:p>
    <w:p w:rsidR="002D463E" w:rsidRPr="00985103" w:rsidRDefault="002D463E" w:rsidP="002D463E">
      <w:pPr>
        <w:rPr>
          <w:i/>
          <w:szCs w:val="24"/>
        </w:rPr>
      </w:pPr>
    </w:p>
    <w:p w:rsidR="002D463E" w:rsidRDefault="002D463E" w:rsidP="002D463E">
      <w:pPr>
        <w:autoSpaceDE w:val="0"/>
        <w:autoSpaceDN w:val="0"/>
        <w:adjustRightInd w:val="0"/>
        <w:rPr>
          <w:color w:val="000000"/>
          <w:szCs w:val="24"/>
        </w:rPr>
      </w:pPr>
      <w:r w:rsidRPr="00985103">
        <w:rPr>
          <w:szCs w:val="24"/>
        </w:rPr>
        <w:t xml:space="preserve">What I have just underlined about inter-plant relations is nothing new from an ecological perspective. Ecology does not </w:t>
      </w:r>
      <w:r>
        <w:rPr>
          <w:szCs w:val="24"/>
        </w:rPr>
        <w:t xml:space="preserve">begin with the </w:t>
      </w:r>
      <w:r w:rsidRPr="00985103">
        <w:rPr>
          <w:szCs w:val="24"/>
        </w:rPr>
        <w:t>presum</w:t>
      </w:r>
      <w:r>
        <w:rPr>
          <w:szCs w:val="24"/>
        </w:rPr>
        <w:t>ption of</w:t>
      </w:r>
      <w:r w:rsidRPr="00985103">
        <w:rPr>
          <w:szCs w:val="24"/>
        </w:rPr>
        <w:t xml:space="preserve"> individuals or isolated species but</w:t>
      </w:r>
      <w:r>
        <w:rPr>
          <w:szCs w:val="24"/>
        </w:rPr>
        <w:t xml:space="preserve"> rather with</w:t>
      </w:r>
      <w:r w:rsidRPr="00985103">
        <w:rPr>
          <w:szCs w:val="24"/>
        </w:rPr>
        <w:t xml:space="preserve"> sets of context-specific life forms that have co-evolved into a variety of partnerings: </w:t>
      </w:r>
      <w:r w:rsidRPr="00985103">
        <w:rPr>
          <w:i/>
          <w:szCs w:val="24"/>
        </w:rPr>
        <w:t>predator-p</w:t>
      </w:r>
      <w:r>
        <w:rPr>
          <w:i/>
          <w:szCs w:val="24"/>
        </w:rPr>
        <w:t>rey; mutualist; commensalist, opportunist</w:t>
      </w:r>
      <w:r w:rsidRPr="00985103">
        <w:rPr>
          <w:i/>
          <w:szCs w:val="24"/>
        </w:rPr>
        <w:t>.</w:t>
      </w:r>
      <w:r w:rsidRPr="00985103">
        <w:rPr>
          <w:szCs w:val="24"/>
        </w:rPr>
        <w:t xml:space="preserve"> These name the </w:t>
      </w:r>
      <w:r>
        <w:rPr>
          <w:szCs w:val="24"/>
        </w:rPr>
        <w:t xml:space="preserve">various </w:t>
      </w:r>
      <w:r w:rsidRPr="00985103">
        <w:rPr>
          <w:szCs w:val="24"/>
        </w:rPr>
        <w:t xml:space="preserve">combinations and permutations of benefits and costs across a given non-related pair. </w:t>
      </w:r>
      <w:r>
        <w:rPr>
          <w:szCs w:val="24"/>
        </w:rPr>
        <w:t>Explanations for Plant A: Plant B-type i</w:t>
      </w:r>
      <w:r w:rsidRPr="00985103">
        <w:rPr>
          <w:szCs w:val="24"/>
        </w:rPr>
        <w:t xml:space="preserve">nterspecific signaling default to the presumption that these are </w:t>
      </w:r>
      <w:r w:rsidRPr="005C3800">
        <w:rPr>
          <w:szCs w:val="24"/>
        </w:rPr>
        <w:t>mutualisms.</w:t>
      </w:r>
      <w:r w:rsidRPr="00985103">
        <w:rPr>
          <w:szCs w:val="24"/>
        </w:rPr>
        <w:t xml:space="preserve">  </w:t>
      </w:r>
      <w:r w:rsidRPr="00985103">
        <w:rPr>
          <w:color w:val="000000"/>
          <w:szCs w:val="24"/>
        </w:rPr>
        <w:t>Hossaert-McKey et al</w:t>
      </w:r>
      <w:r>
        <w:rPr>
          <w:color w:val="000000"/>
          <w:szCs w:val="24"/>
        </w:rPr>
        <w:t xml:space="preserve">. </w:t>
      </w:r>
      <w:r w:rsidRPr="00985103">
        <w:rPr>
          <w:color w:val="000000"/>
          <w:szCs w:val="24"/>
        </w:rPr>
        <w:t>weigh in: “</w:t>
      </w:r>
      <w:r w:rsidRPr="00985103">
        <w:rPr>
          <w:szCs w:val="24"/>
        </w:rPr>
        <w:t xml:space="preserve">As in many other interspecies interactions, chemical signals are suspected to be important in the </w:t>
      </w:r>
      <w:r>
        <w:rPr>
          <w:szCs w:val="24"/>
        </w:rPr>
        <w:t>functioning of these mutualisms</w:t>
      </w:r>
      <w:r w:rsidRPr="00985103">
        <w:rPr>
          <w:szCs w:val="24"/>
        </w:rPr>
        <w:t>”</w:t>
      </w:r>
      <w:r>
        <w:rPr>
          <w:szCs w:val="24"/>
        </w:rPr>
        <w:t xml:space="preserve"> (2010: 75).</w:t>
      </w:r>
      <w:r w:rsidRPr="00985103">
        <w:rPr>
          <w:szCs w:val="24"/>
        </w:rPr>
        <w:t xml:space="preserve"> </w:t>
      </w:r>
      <w:r w:rsidRPr="00985103">
        <w:rPr>
          <w:color w:val="000000"/>
          <w:szCs w:val="24"/>
        </w:rPr>
        <w:t>Mutualisms are cooperative interactions between species, in which each partne</w:t>
      </w:r>
      <w:r>
        <w:rPr>
          <w:color w:val="000000"/>
          <w:szCs w:val="24"/>
        </w:rPr>
        <w:t>r benefits from the association (Bronstein et al., 2006).</w:t>
      </w:r>
      <w:r w:rsidRPr="00985103">
        <w:rPr>
          <w:color w:val="000000"/>
          <w:szCs w:val="24"/>
        </w:rPr>
        <w:t xml:space="preserve">  </w:t>
      </w:r>
    </w:p>
    <w:p w:rsidR="002D463E" w:rsidRDefault="002D463E" w:rsidP="002D463E">
      <w:pPr>
        <w:autoSpaceDE w:val="0"/>
        <w:autoSpaceDN w:val="0"/>
        <w:adjustRightInd w:val="0"/>
        <w:rPr>
          <w:color w:val="000000"/>
          <w:szCs w:val="24"/>
        </w:rPr>
      </w:pPr>
    </w:p>
    <w:p w:rsidR="002D463E" w:rsidRPr="00985103" w:rsidRDefault="002D463E" w:rsidP="002D463E">
      <w:pPr>
        <w:autoSpaceDE w:val="0"/>
        <w:autoSpaceDN w:val="0"/>
        <w:adjustRightInd w:val="0"/>
        <w:rPr>
          <w:szCs w:val="24"/>
        </w:rPr>
      </w:pPr>
      <w:r>
        <w:rPr>
          <w:color w:val="000000"/>
          <w:szCs w:val="24"/>
        </w:rPr>
        <w:t xml:space="preserve">Let us focus on the especially-beloved Deleuzian proposition </w:t>
      </w:r>
      <w:r>
        <w:rPr>
          <w:i/>
          <w:color w:val="000000"/>
          <w:szCs w:val="24"/>
        </w:rPr>
        <w:t xml:space="preserve">between </w:t>
      </w:r>
      <w:r>
        <w:rPr>
          <w:color w:val="000000"/>
          <w:szCs w:val="24"/>
        </w:rPr>
        <w:t>(Villani, 1999: 9)</w:t>
      </w:r>
      <w:r>
        <w:rPr>
          <w:szCs w:val="24"/>
        </w:rPr>
        <w:t xml:space="preserve"> and the premise of </w:t>
      </w:r>
      <w:r w:rsidRPr="0063303B">
        <w:rPr>
          <w:i/>
          <w:color w:val="000000"/>
          <w:szCs w:val="24"/>
        </w:rPr>
        <w:t>partner</w:t>
      </w:r>
      <w:r>
        <w:rPr>
          <w:i/>
          <w:color w:val="000000"/>
          <w:szCs w:val="24"/>
        </w:rPr>
        <w:t>ing</w:t>
      </w:r>
      <w:r>
        <w:rPr>
          <w:color w:val="000000"/>
          <w:szCs w:val="24"/>
        </w:rPr>
        <w:t xml:space="preserve"> </w:t>
      </w:r>
      <w:r>
        <w:rPr>
          <w:szCs w:val="24"/>
        </w:rPr>
        <w:t xml:space="preserve">in </w:t>
      </w:r>
      <w:r w:rsidRPr="00985103">
        <w:rPr>
          <w:szCs w:val="24"/>
        </w:rPr>
        <w:t>the prototypical mutualistic</w:t>
      </w:r>
      <w:r>
        <w:rPr>
          <w:szCs w:val="24"/>
        </w:rPr>
        <w:t xml:space="preserve"> </w:t>
      </w:r>
      <w:r w:rsidRPr="00985103">
        <w:rPr>
          <w:szCs w:val="24"/>
        </w:rPr>
        <w:t>case that Deleuze and Guattari</w:t>
      </w:r>
      <w:r>
        <w:rPr>
          <w:szCs w:val="24"/>
        </w:rPr>
        <w:t xml:space="preserve"> describe</w:t>
      </w:r>
      <w:r w:rsidRPr="00985103">
        <w:rPr>
          <w:szCs w:val="24"/>
        </w:rPr>
        <w:t xml:space="preserve">: the orchid-wasp pairing. The </w:t>
      </w:r>
      <w:r>
        <w:rPr>
          <w:szCs w:val="24"/>
        </w:rPr>
        <w:t xml:space="preserve">flowering </w:t>
      </w:r>
      <w:r w:rsidRPr="00985103">
        <w:rPr>
          <w:szCs w:val="24"/>
        </w:rPr>
        <w:t xml:space="preserve">plant “offers” the </w:t>
      </w:r>
      <w:r>
        <w:rPr>
          <w:szCs w:val="24"/>
        </w:rPr>
        <w:t xml:space="preserve">insect </w:t>
      </w:r>
      <w:r w:rsidRPr="00985103">
        <w:rPr>
          <w:szCs w:val="24"/>
        </w:rPr>
        <w:t>a place to lay its eggs, and a ready-to-hand snack when the larvae hatch (the fruit</w:t>
      </w:r>
      <w:r>
        <w:rPr>
          <w:szCs w:val="24"/>
        </w:rPr>
        <w:t>, the seeds</w:t>
      </w:r>
      <w:r w:rsidRPr="00985103">
        <w:rPr>
          <w:szCs w:val="24"/>
        </w:rPr>
        <w:t>). The insect “offers” the plant dispersal of pollen, sometimes directly and sometimes indirectly through further “parasites and predators associated with these mutualisms”</w:t>
      </w:r>
      <w:r>
        <w:rPr>
          <w:szCs w:val="24"/>
        </w:rPr>
        <w:t xml:space="preserve"> (Hossaert-McKey et al., 2010: 75).</w:t>
      </w:r>
      <w:r w:rsidRPr="00985103">
        <w:rPr>
          <w:szCs w:val="24"/>
        </w:rPr>
        <w:t xml:space="preserve"> Whatever the mechanism, </w:t>
      </w:r>
      <w:r>
        <w:rPr>
          <w:szCs w:val="24"/>
        </w:rPr>
        <w:t xml:space="preserve">it is said that </w:t>
      </w:r>
      <w:r w:rsidRPr="00985103">
        <w:rPr>
          <w:szCs w:val="24"/>
        </w:rPr>
        <w:t xml:space="preserve">“…each </w:t>
      </w:r>
      <w:r w:rsidRPr="004F53A8">
        <w:rPr>
          <w:szCs w:val="24"/>
        </w:rPr>
        <w:t xml:space="preserve">partner </w:t>
      </w:r>
      <w:r w:rsidRPr="00985103">
        <w:rPr>
          <w:szCs w:val="24"/>
        </w:rPr>
        <w:t xml:space="preserve">depends </w:t>
      </w:r>
      <w:r w:rsidRPr="004F53A8">
        <w:rPr>
          <w:szCs w:val="24"/>
        </w:rPr>
        <w:t xml:space="preserve">directly </w:t>
      </w:r>
      <w:r w:rsidRPr="00985103">
        <w:rPr>
          <w:szCs w:val="24"/>
        </w:rPr>
        <w:t>on</w:t>
      </w:r>
      <w:r>
        <w:rPr>
          <w:szCs w:val="24"/>
        </w:rPr>
        <w:t xml:space="preserve"> the other for its reproduction</w:t>
      </w:r>
      <w:r w:rsidRPr="00985103">
        <w:rPr>
          <w:szCs w:val="24"/>
        </w:rPr>
        <w:t>”</w:t>
      </w:r>
      <w:r>
        <w:rPr>
          <w:szCs w:val="24"/>
        </w:rPr>
        <w:t xml:space="preserve"> (75).</w:t>
      </w:r>
      <w:r w:rsidRPr="00985103">
        <w:rPr>
          <w:szCs w:val="24"/>
        </w:rPr>
        <w:t xml:space="preserve"> In some cases “these mutualisms are quite specific: each partner depends </w:t>
      </w:r>
      <w:r w:rsidRPr="004F53A8">
        <w:rPr>
          <w:szCs w:val="24"/>
        </w:rPr>
        <w:t>exclusively,</w:t>
      </w:r>
      <w:r w:rsidRPr="00985103">
        <w:rPr>
          <w:szCs w:val="24"/>
        </w:rPr>
        <w:t xml:space="preserve"> or at least partially, on the other for its reproduction, enforcing tight physiological co-adap</w:t>
      </w:r>
      <w:r>
        <w:rPr>
          <w:szCs w:val="24"/>
        </w:rPr>
        <w:t>tation…</w:t>
      </w:r>
      <w:r w:rsidRPr="00985103">
        <w:rPr>
          <w:szCs w:val="24"/>
        </w:rPr>
        <w:t xml:space="preserve">Plant and pollinator have evolved extraordinary reciprocal specificity, often approaching </w:t>
      </w:r>
      <w:r>
        <w:rPr>
          <w:szCs w:val="24"/>
        </w:rPr>
        <w:t>one-to-one obligate specificity</w:t>
      </w:r>
      <w:r w:rsidRPr="00985103">
        <w:rPr>
          <w:szCs w:val="24"/>
        </w:rPr>
        <w:t>”</w:t>
      </w:r>
      <w:r>
        <w:rPr>
          <w:szCs w:val="24"/>
        </w:rPr>
        <w:t xml:space="preserve"> (76).</w:t>
      </w:r>
      <w:r w:rsidRPr="00985103">
        <w:rPr>
          <w:szCs w:val="24"/>
        </w:rPr>
        <w:t xml:space="preserve"> What these </w:t>
      </w:r>
      <w:r>
        <w:rPr>
          <w:szCs w:val="24"/>
        </w:rPr>
        <w:t xml:space="preserve">assertions </w:t>
      </w:r>
      <w:r w:rsidRPr="00985103">
        <w:rPr>
          <w:szCs w:val="24"/>
        </w:rPr>
        <w:t xml:space="preserve">suggests is that, even though plants, insects and animals </w:t>
      </w:r>
      <w:r w:rsidRPr="00985103">
        <w:rPr>
          <w:i/>
          <w:szCs w:val="24"/>
        </w:rPr>
        <w:t>are</w:t>
      </w:r>
      <w:r w:rsidRPr="00985103">
        <w:rPr>
          <w:szCs w:val="24"/>
        </w:rPr>
        <w:t xml:space="preserve"> parts of larger, complex and dynamic blocks of </w:t>
      </w:r>
      <w:r>
        <w:rPr>
          <w:szCs w:val="24"/>
        </w:rPr>
        <w:t xml:space="preserve">ecologic </w:t>
      </w:r>
      <w:r w:rsidRPr="00985103">
        <w:rPr>
          <w:szCs w:val="24"/>
        </w:rPr>
        <w:t xml:space="preserve">vitality, nevertheless </w:t>
      </w:r>
      <w:r>
        <w:rPr>
          <w:szCs w:val="24"/>
        </w:rPr>
        <w:t xml:space="preserve">within that larger whole </w:t>
      </w:r>
      <w:r w:rsidRPr="00985103">
        <w:rPr>
          <w:szCs w:val="24"/>
        </w:rPr>
        <w:t>there are tight (exclusive, monogamous</w:t>
      </w:r>
      <w:r>
        <w:rPr>
          <w:szCs w:val="24"/>
        </w:rPr>
        <w:t>, dyadic</w:t>
      </w:r>
      <w:r w:rsidRPr="00985103">
        <w:rPr>
          <w:szCs w:val="24"/>
        </w:rPr>
        <w:t xml:space="preserve">) </w:t>
      </w:r>
      <w:r>
        <w:rPr>
          <w:szCs w:val="24"/>
        </w:rPr>
        <w:t>c</w:t>
      </w:r>
      <w:r w:rsidRPr="00985103">
        <w:rPr>
          <w:szCs w:val="24"/>
        </w:rPr>
        <w:t>ouplings</w:t>
      </w:r>
      <w:r>
        <w:rPr>
          <w:szCs w:val="24"/>
        </w:rPr>
        <w:t xml:space="preserve">. Ultimately, here, the </w:t>
      </w:r>
      <w:r w:rsidRPr="00985103">
        <w:rPr>
          <w:szCs w:val="24"/>
        </w:rPr>
        <w:t xml:space="preserve">dyad </w:t>
      </w:r>
      <w:r>
        <w:rPr>
          <w:szCs w:val="24"/>
        </w:rPr>
        <w:t xml:space="preserve">is conceived </w:t>
      </w:r>
      <w:r w:rsidRPr="004F53A8">
        <w:rPr>
          <w:i/>
          <w:szCs w:val="24"/>
        </w:rPr>
        <w:t>as if</w:t>
      </w:r>
      <w:r>
        <w:rPr>
          <w:szCs w:val="24"/>
        </w:rPr>
        <w:t xml:space="preserve"> it were an isolated individual,</w:t>
      </w:r>
      <w:r w:rsidRPr="00985103">
        <w:rPr>
          <w:szCs w:val="24"/>
        </w:rPr>
        <w:t xml:space="preserve"> and the pairing </w:t>
      </w:r>
      <w:r>
        <w:rPr>
          <w:szCs w:val="24"/>
        </w:rPr>
        <w:t xml:space="preserve">itself </w:t>
      </w:r>
      <w:r w:rsidRPr="004F53A8">
        <w:rPr>
          <w:i/>
          <w:szCs w:val="24"/>
        </w:rPr>
        <w:t>as if</w:t>
      </w:r>
      <w:r w:rsidRPr="00985103">
        <w:rPr>
          <w:szCs w:val="24"/>
        </w:rPr>
        <w:t xml:space="preserve"> having </w:t>
      </w:r>
      <w:r>
        <w:rPr>
          <w:szCs w:val="24"/>
        </w:rPr>
        <w:t>the most</w:t>
      </w:r>
      <w:r w:rsidRPr="00985103">
        <w:rPr>
          <w:szCs w:val="24"/>
        </w:rPr>
        <w:t xml:space="preserve"> central and identifiable function</w:t>
      </w:r>
      <w:r>
        <w:rPr>
          <w:szCs w:val="24"/>
        </w:rPr>
        <w:t xml:space="preserve"> within that whole</w:t>
      </w:r>
      <w:r w:rsidRPr="00985103">
        <w:rPr>
          <w:szCs w:val="24"/>
        </w:rPr>
        <w:t xml:space="preserve">: </w:t>
      </w:r>
      <w:r>
        <w:rPr>
          <w:szCs w:val="24"/>
        </w:rPr>
        <w:t>a</w:t>
      </w:r>
      <w:r w:rsidRPr="00985103">
        <w:rPr>
          <w:szCs w:val="24"/>
        </w:rPr>
        <w:t xml:space="preserve"> pairing in perpetuity. </w:t>
      </w:r>
    </w:p>
    <w:p w:rsidR="002D463E" w:rsidRPr="00985103" w:rsidRDefault="002D463E" w:rsidP="002D463E">
      <w:pPr>
        <w:autoSpaceDE w:val="0"/>
        <w:autoSpaceDN w:val="0"/>
        <w:adjustRightInd w:val="0"/>
        <w:rPr>
          <w:szCs w:val="24"/>
        </w:rPr>
      </w:pPr>
    </w:p>
    <w:p w:rsidR="002D463E" w:rsidRDefault="002D463E" w:rsidP="002D463E">
      <w:pPr>
        <w:autoSpaceDE w:val="0"/>
        <w:autoSpaceDN w:val="0"/>
        <w:adjustRightInd w:val="0"/>
        <w:rPr>
          <w:szCs w:val="24"/>
        </w:rPr>
      </w:pPr>
      <w:r>
        <w:rPr>
          <w:color w:val="000000"/>
          <w:szCs w:val="24"/>
        </w:rPr>
        <w:t>A</w:t>
      </w:r>
      <w:r w:rsidRPr="00985103">
        <w:rPr>
          <w:color w:val="000000"/>
          <w:szCs w:val="24"/>
        </w:rPr>
        <w:t xml:space="preserve">gain, delving into the details of these so-called </w:t>
      </w:r>
      <w:r w:rsidRPr="00985103">
        <w:rPr>
          <w:i/>
          <w:color w:val="000000"/>
          <w:szCs w:val="24"/>
        </w:rPr>
        <w:t>pairings</w:t>
      </w:r>
      <w:r w:rsidRPr="00985103">
        <w:rPr>
          <w:color w:val="000000"/>
          <w:szCs w:val="24"/>
        </w:rPr>
        <w:t xml:space="preserve"> suggests that whatever is going on </w:t>
      </w:r>
      <w:r w:rsidRPr="00985103">
        <w:rPr>
          <w:i/>
          <w:color w:val="000000"/>
          <w:szCs w:val="24"/>
        </w:rPr>
        <w:t>between</w:t>
      </w:r>
      <w:r w:rsidRPr="00985103">
        <w:rPr>
          <w:color w:val="000000"/>
          <w:szCs w:val="24"/>
        </w:rPr>
        <w:t xml:space="preserve"> plants is n</w:t>
      </w:r>
      <w:r>
        <w:rPr>
          <w:color w:val="000000"/>
          <w:szCs w:val="24"/>
        </w:rPr>
        <w:t>either</w:t>
      </w:r>
      <w:r w:rsidRPr="00985103">
        <w:rPr>
          <w:color w:val="000000"/>
          <w:szCs w:val="24"/>
        </w:rPr>
        <w:t xml:space="preserve"> so </w:t>
      </w:r>
      <w:r w:rsidRPr="00857440">
        <w:rPr>
          <w:i/>
          <w:color w:val="000000"/>
          <w:szCs w:val="24"/>
        </w:rPr>
        <w:t>exclusive</w:t>
      </w:r>
      <w:r>
        <w:rPr>
          <w:color w:val="000000"/>
          <w:szCs w:val="24"/>
        </w:rPr>
        <w:t xml:space="preserve"> nor so simple to sum-up. </w:t>
      </w:r>
      <w:r w:rsidRPr="00985103">
        <w:rPr>
          <w:szCs w:val="24"/>
        </w:rPr>
        <w:t xml:space="preserve">For how, exactly, are these ostensibly exclusive dyadic offerings </w:t>
      </w:r>
      <w:r>
        <w:rPr>
          <w:szCs w:val="24"/>
        </w:rPr>
        <w:t xml:space="preserve">even </w:t>
      </w:r>
      <w:r w:rsidRPr="00985103">
        <w:rPr>
          <w:szCs w:val="24"/>
        </w:rPr>
        <w:t xml:space="preserve">made to one another, </w:t>
      </w:r>
      <w:r>
        <w:rPr>
          <w:szCs w:val="24"/>
        </w:rPr>
        <w:t>and</w:t>
      </w:r>
      <w:r w:rsidRPr="00985103">
        <w:rPr>
          <w:szCs w:val="24"/>
        </w:rPr>
        <w:t xml:space="preserve"> </w:t>
      </w:r>
      <w:r>
        <w:rPr>
          <w:szCs w:val="24"/>
        </w:rPr>
        <w:t>such</w:t>
      </w:r>
      <w:r w:rsidRPr="00985103">
        <w:rPr>
          <w:szCs w:val="24"/>
        </w:rPr>
        <w:t xml:space="preserve"> couplings cemented? </w:t>
      </w:r>
    </w:p>
    <w:p w:rsidR="002D463E" w:rsidRDefault="002D463E" w:rsidP="002D463E">
      <w:pPr>
        <w:autoSpaceDE w:val="0"/>
        <w:autoSpaceDN w:val="0"/>
        <w:adjustRightInd w:val="0"/>
        <w:rPr>
          <w:szCs w:val="24"/>
        </w:rPr>
      </w:pPr>
    </w:p>
    <w:p w:rsidR="002D463E" w:rsidRPr="00985103" w:rsidRDefault="002D463E" w:rsidP="00E35253">
      <w:pPr>
        <w:pStyle w:val="Heading3"/>
      </w:pPr>
      <w:r>
        <w:t>By a third</w:t>
      </w:r>
      <w:r w:rsidRPr="00985103">
        <w:t xml:space="preserve">. </w:t>
      </w:r>
    </w:p>
    <w:p w:rsidR="002D463E" w:rsidRPr="00985103" w:rsidRDefault="002D463E" w:rsidP="002D463E">
      <w:pPr>
        <w:autoSpaceDE w:val="0"/>
        <w:autoSpaceDN w:val="0"/>
        <w:adjustRightInd w:val="0"/>
        <w:rPr>
          <w:szCs w:val="24"/>
        </w:rPr>
      </w:pPr>
    </w:p>
    <w:p w:rsidR="002D463E" w:rsidRPr="00985103" w:rsidRDefault="002D463E" w:rsidP="002D463E">
      <w:pPr>
        <w:autoSpaceDE w:val="0"/>
        <w:autoSpaceDN w:val="0"/>
        <w:adjustRightInd w:val="0"/>
        <w:rPr>
          <w:szCs w:val="24"/>
        </w:rPr>
      </w:pPr>
      <w:r w:rsidRPr="00985103">
        <w:rPr>
          <w:szCs w:val="24"/>
        </w:rPr>
        <w:t>In many cases that third is a “flower volatile,” a chemical signal. A perfume</w:t>
      </w:r>
      <w:r>
        <w:rPr>
          <w:szCs w:val="24"/>
        </w:rPr>
        <w:t>!</w:t>
      </w:r>
      <w:r w:rsidRPr="00985103">
        <w:rPr>
          <w:szCs w:val="24"/>
        </w:rPr>
        <w:t xml:space="preserve"> </w:t>
      </w:r>
      <w:r w:rsidRPr="00985103">
        <w:rPr>
          <w:color w:val="000000"/>
          <w:szCs w:val="24"/>
        </w:rPr>
        <w:t>Studies of the chemical profiles of these signals reveal a mind-boggling array even in a controlled environment l</w:t>
      </w:r>
      <w:r>
        <w:rPr>
          <w:color w:val="000000"/>
          <w:szCs w:val="24"/>
        </w:rPr>
        <w:t>ike a greenhouse where one manages</w:t>
      </w:r>
      <w:r w:rsidRPr="00985103">
        <w:rPr>
          <w:color w:val="000000"/>
          <w:szCs w:val="24"/>
        </w:rPr>
        <w:t xml:space="preserve"> only a few species, not entire natural ecosystems. A flower volatile is </w:t>
      </w:r>
      <w:r>
        <w:rPr>
          <w:color w:val="000000"/>
          <w:szCs w:val="24"/>
        </w:rPr>
        <w:t>by no means a one-note info-spritz</w:t>
      </w:r>
      <w:r w:rsidRPr="00985103">
        <w:rPr>
          <w:color w:val="000000"/>
          <w:szCs w:val="24"/>
        </w:rPr>
        <w:t xml:space="preserve"> aimed directly at a single wasp but something almost unfathomably complex both in what it is</w:t>
      </w:r>
      <w:r>
        <w:rPr>
          <w:color w:val="000000"/>
          <w:szCs w:val="24"/>
        </w:rPr>
        <w:t xml:space="preserve"> and what it </w:t>
      </w:r>
      <w:r w:rsidRPr="00985103">
        <w:rPr>
          <w:color w:val="000000"/>
          <w:szCs w:val="24"/>
        </w:rPr>
        <w:t>do</w:t>
      </w:r>
      <w:r>
        <w:rPr>
          <w:color w:val="000000"/>
          <w:szCs w:val="24"/>
        </w:rPr>
        <w:t>es. First, the “</w:t>
      </w:r>
      <w:r w:rsidRPr="00985103">
        <w:rPr>
          <w:color w:val="000000"/>
          <w:szCs w:val="24"/>
        </w:rPr>
        <w:t>scent signal emitted by the host plant must be specific, to attract its specific and obligate partner</w:t>
      </w:r>
      <w:r>
        <w:rPr>
          <w:color w:val="000000"/>
          <w:szCs w:val="24"/>
        </w:rPr>
        <w:t>” including a way of acting during “</w:t>
      </w:r>
      <w:r w:rsidRPr="00985103">
        <w:rPr>
          <w:szCs w:val="24"/>
        </w:rPr>
        <w:t>the appropriate phonological stage for pollinator visit”</w:t>
      </w:r>
      <w:r>
        <w:rPr>
          <w:szCs w:val="24"/>
        </w:rPr>
        <w:t xml:space="preserve"> (Hossaert-McKey, 2010: 76). </w:t>
      </w:r>
      <w:r>
        <w:rPr>
          <w:color w:val="000000"/>
          <w:szCs w:val="24"/>
        </w:rPr>
        <w:t>T</w:t>
      </w:r>
      <w:r w:rsidRPr="00985103">
        <w:rPr>
          <w:color w:val="000000"/>
          <w:szCs w:val="24"/>
        </w:rPr>
        <w:t xml:space="preserve">he </w:t>
      </w:r>
      <w:r w:rsidRPr="000D4C8A">
        <w:rPr>
          <w:i/>
          <w:color w:val="000000"/>
          <w:szCs w:val="24"/>
        </w:rPr>
        <w:t>perfume</w:t>
      </w:r>
      <w:r w:rsidRPr="00985103">
        <w:rPr>
          <w:color w:val="000000"/>
          <w:szCs w:val="24"/>
        </w:rPr>
        <w:t xml:space="preserve"> emitted by the host plant and perceived by the insect should contain not only information about the specific identity of the plant, but also on its developmental stage, particularly information about whether or not the plant is receptive, i.e. ready to be pollinated and thus has the right  resources to offer. </w:t>
      </w:r>
      <w:r>
        <w:rPr>
          <w:color w:val="000000"/>
          <w:szCs w:val="24"/>
        </w:rPr>
        <w:t>And, t</w:t>
      </w:r>
      <w:r w:rsidRPr="00985103">
        <w:rPr>
          <w:color w:val="000000"/>
          <w:szCs w:val="24"/>
        </w:rPr>
        <w:t>hese</w:t>
      </w:r>
      <w:r>
        <w:rPr>
          <w:color w:val="000000"/>
          <w:szCs w:val="24"/>
        </w:rPr>
        <w:t xml:space="preserve"> so-called</w:t>
      </w:r>
      <w:r w:rsidRPr="00985103">
        <w:rPr>
          <w:color w:val="000000"/>
          <w:szCs w:val="24"/>
        </w:rPr>
        <w:t xml:space="preserve"> </w:t>
      </w:r>
      <w:r w:rsidRPr="00DF2962">
        <w:rPr>
          <w:i/>
          <w:color w:val="000000"/>
          <w:szCs w:val="24"/>
        </w:rPr>
        <w:t>partners</w:t>
      </w:r>
      <w:r w:rsidRPr="00985103">
        <w:rPr>
          <w:color w:val="000000"/>
          <w:szCs w:val="24"/>
        </w:rPr>
        <w:t xml:space="preserve"> are not just hangi</w:t>
      </w:r>
      <w:r>
        <w:rPr>
          <w:color w:val="000000"/>
          <w:szCs w:val="24"/>
        </w:rPr>
        <w:t>ng around the house waiting for the phone to ring</w:t>
      </w:r>
      <w:r w:rsidRPr="00985103">
        <w:rPr>
          <w:color w:val="000000"/>
          <w:szCs w:val="24"/>
        </w:rPr>
        <w:t>: they are dispersed, and plenty of other possible suitors are nearby. The successful encounter of the host plant and its mutualist insect therefore also requires a very strong signal.</w:t>
      </w:r>
      <w:r>
        <w:rPr>
          <w:color w:val="000000"/>
          <w:szCs w:val="24"/>
        </w:rPr>
        <w:t xml:space="preserve"> And so, as a second requirement,</w:t>
      </w:r>
      <w:r w:rsidRPr="00985103">
        <w:rPr>
          <w:color w:val="000000"/>
          <w:szCs w:val="24"/>
        </w:rPr>
        <w:t xml:space="preserve"> “</w:t>
      </w:r>
      <w:r>
        <w:rPr>
          <w:color w:val="000000"/>
          <w:szCs w:val="24"/>
        </w:rPr>
        <w:t>t</w:t>
      </w:r>
      <w:r w:rsidRPr="00985103">
        <w:rPr>
          <w:color w:val="000000"/>
          <w:szCs w:val="24"/>
        </w:rPr>
        <w:t>he signal emitted by the plant and the capacity of the insect to detect the message…must be strong and precise enough to e</w:t>
      </w:r>
      <w:r>
        <w:rPr>
          <w:color w:val="000000"/>
          <w:szCs w:val="24"/>
        </w:rPr>
        <w:t>xtract “signal” from “noise” (Raguso 2003, as cited in</w:t>
      </w:r>
      <w:r w:rsidRPr="000D4C8A">
        <w:rPr>
          <w:szCs w:val="24"/>
        </w:rPr>
        <w:t xml:space="preserve"> </w:t>
      </w:r>
      <w:r>
        <w:rPr>
          <w:szCs w:val="24"/>
        </w:rPr>
        <w:t>Hossaert-McKey, 2010: 76).</w:t>
      </w:r>
      <w:r>
        <w:rPr>
          <w:color w:val="000000"/>
          <w:szCs w:val="24"/>
        </w:rPr>
        <w:t xml:space="preserve">  There appear to be hundreds of possible dimensions to the accomplishment of the coupling by the third.  Scientists confess: “The tr</w:t>
      </w:r>
      <w:r w:rsidRPr="00985103">
        <w:rPr>
          <w:color w:val="000000"/>
          <w:szCs w:val="24"/>
        </w:rPr>
        <w:t>ansfer of information about resources opens up a large number of questions. How is specificity of the signal achieved? Moreover, once specificity is achieved, how do plant–pollinator relationship</w:t>
      </w:r>
      <w:r>
        <w:rPr>
          <w:color w:val="000000"/>
          <w:szCs w:val="24"/>
        </w:rPr>
        <w:t>s change, how do they diversify…a</w:t>
      </w:r>
      <w:r w:rsidRPr="00985103">
        <w:rPr>
          <w:szCs w:val="24"/>
        </w:rPr>
        <w:t>s increasing numbers of associated species adapt to exploit the resources exchanged by mutualists, are mutualist pairs that are locked into a simple signal unable to shift, whereas those that use more complex signals can respond more easily to such pressures? Could it be that if they appear, simple-signal systems may relatively quickly disappear, rather than leaving descendant lineages?</w:t>
      </w:r>
      <w:r>
        <w:rPr>
          <w:szCs w:val="24"/>
        </w:rPr>
        <w:t>” (Hossaert-McKey, 2010: 85).</w:t>
      </w:r>
      <w:r w:rsidRPr="00985103">
        <w:rPr>
          <w:szCs w:val="24"/>
        </w:rPr>
        <w:t xml:space="preserve"> </w:t>
      </w:r>
    </w:p>
    <w:p w:rsidR="002D463E" w:rsidRPr="00985103" w:rsidRDefault="002D463E" w:rsidP="002D463E">
      <w:pPr>
        <w:autoSpaceDE w:val="0"/>
        <w:autoSpaceDN w:val="0"/>
        <w:adjustRightInd w:val="0"/>
        <w:rPr>
          <w:szCs w:val="24"/>
        </w:rPr>
      </w:pPr>
    </w:p>
    <w:p w:rsidR="002D463E" w:rsidRDefault="002D463E" w:rsidP="002D463E">
      <w:pPr>
        <w:autoSpaceDE w:val="0"/>
        <w:autoSpaceDN w:val="0"/>
        <w:adjustRightInd w:val="0"/>
        <w:rPr>
          <w:color w:val="000000"/>
          <w:szCs w:val="24"/>
        </w:rPr>
      </w:pPr>
      <w:r w:rsidRPr="00985103">
        <w:rPr>
          <w:color w:val="000000"/>
          <w:szCs w:val="24"/>
        </w:rPr>
        <w:t xml:space="preserve">What I think we learn here is that the </w:t>
      </w:r>
      <w:r>
        <w:rPr>
          <w:color w:val="000000"/>
          <w:szCs w:val="24"/>
        </w:rPr>
        <w:t xml:space="preserve">default </w:t>
      </w:r>
      <w:r w:rsidRPr="00985103">
        <w:rPr>
          <w:color w:val="000000"/>
          <w:szCs w:val="24"/>
        </w:rPr>
        <w:t xml:space="preserve">story of mutualisms as </w:t>
      </w:r>
      <w:r>
        <w:rPr>
          <w:color w:val="000000"/>
          <w:szCs w:val="24"/>
        </w:rPr>
        <w:t>dyads</w:t>
      </w:r>
      <w:r w:rsidRPr="00985103">
        <w:rPr>
          <w:color w:val="000000"/>
          <w:szCs w:val="24"/>
        </w:rPr>
        <w:t xml:space="preserve"> underplays and oversimplifies the truths of the critical sophisticated and still-largely-not-understood agency of other elements, in this case </w:t>
      </w:r>
      <w:r>
        <w:rPr>
          <w:color w:val="000000"/>
          <w:szCs w:val="24"/>
        </w:rPr>
        <w:t xml:space="preserve">an </w:t>
      </w:r>
      <w:r w:rsidRPr="00985103">
        <w:rPr>
          <w:color w:val="000000"/>
          <w:szCs w:val="24"/>
        </w:rPr>
        <w:t>organic</w:t>
      </w:r>
      <w:r>
        <w:rPr>
          <w:color w:val="000000"/>
          <w:szCs w:val="24"/>
        </w:rPr>
        <w:t xml:space="preserve"> compound</w:t>
      </w:r>
      <w:r w:rsidRPr="00985103">
        <w:rPr>
          <w:color w:val="000000"/>
          <w:szCs w:val="24"/>
        </w:rPr>
        <w:t xml:space="preserve">. </w:t>
      </w:r>
      <w:r>
        <w:rPr>
          <w:color w:val="000000"/>
          <w:szCs w:val="24"/>
        </w:rPr>
        <w:t>W</w:t>
      </w:r>
      <w:r w:rsidRPr="00985103">
        <w:rPr>
          <w:color w:val="000000"/>
          <w:szCs w:val="24"/>
        </w:rPr>
        <w:t xml:space="preserve">hatever is going on </w:t>
      </w:r>
      <w:r w:rsidRPr="00985103">
        <w:rPr>
          <w:i/>
          <w:color w:val="000000"/>
          <w:szCs w:val="24"/>
        </w:rPr>
        <w:t>between</w:t>
      </w:r>
      <w:r w:rsidRPr="00985103">
        <w:rPr>
          <w:color w:val="000000"/>
          <w:szCs w:val="24"/>
        </w:rPr>
        <w:t xml:space="preserve"> two</w:t>
      </w:r>
      <w:r>
        <w:rPr>
          <w:color w:val="000000"/>
          <w:szCs w:val="24"/>
        </w:rPr>
        <w:t xml:space="preserve"> plant partners</w:t>
      </w:r>
      <w:r w:rsidRPr="00985103">
        <w:rPr>
          <w:color w:val="000000"/>
          <w:szCs w:val="24"/>
        </w:rPr>
        <w:t xml:space="preserve"> is n</w:t>
      </w:r>
      <w:r>
        <w:rPr>
          <w:color w:val="000000"/>
          <w:szCs w:val="24"/>
        </w:rPr>
        <w:t>either</w:t>
      </w:r>
      <w:r w:rsidRPr="00985103">
        <w:rPr>
          <w:color w:val="000000"/>
          <w:szCs w:val="24"/>
        </w:rPr>
        <w:t xml:space="preserve"> so simple, nor so </w:t>
      </w:r>
      <w:r w:rsidRPr="00985103">
        <w:rPr>
          <w:i/>
          <w:color w:val="000000"/>
          <w:szCs w:val="24"/>
        </w:rPr>
        <w:t>between</w:t>
      </w:r>
      <w:r w:rsidRPr="00985103">
        <w:rPr>
          <w:color w:val="000000"/>
          <w:szCs w:val="24"/>
        </w:rPr>
        <w:t>.  These simple perfumes</w:t>
      </w:r>
      <w:r>
        <w:rPr>
          <w:color w:val="000000"/>
          <w:szCs w:val="24"/>
        </w:rPr>
        <w:t xml:space="preserve"> “</w:t>
      </w:r>
      <w:r w:rsidRPr="00985103">
        <w:rPr>
          <w:color w:val="000000"/>
          <w:szCs w:val="24"/>
        </w:rPr>
        <w:t xml:space="preserve">may be the ‘silk’ that holds together the complex web of interactions…” </w:t>
      </w:r>
      <w:r>
        <w:rPr>
          <w:color w:val="000000"/>
          <w:szCs w:val="24"/>
        </w:rPr>
        <w:t>(85).</w:t>
      </w:r>
      <w:r w:rsidRPr="00985103">
        <w:rPr>
          <w:color w:val="000000"/>
          <w:szCs w:val="24"/>
        </w:rPr>
        <w:t xml:space="preserve"> </w:t>
      </w:r>
      <w:r>
        <w:rPr>
          <w:color w:val="000000"/>
          <w:szCs w:val="24"/>
        </w:rPr>
        <w:t xml:space="preserve">The third qualifies, as much as the pair, as an </w:t>
      </w:r>
      <w:r w:rsidRPr="009A36E1">
        <w:rPr>
          <w:i/>
          <w:color w:val="000000"/>
          <w:szCs w:val="24"/>
        </w:rPr>
        <w:t>agent</w:t>
      </w:r>
      <w:r>
        <w:rPr>
          <w:i/>
          <w:color w:val="000000"/>
          <w:szCs w:val="24"/>
        </w:rPr>
        <w:t xml:space="preserve"> </w:t>
      </w:r>
      <w:r>
        <w:rPr>
          <w:color w:val="000000"/>
          <w:szCs w:val="24"/>
        </w:rPr>
        <w:t xml:space="preserve">or what Bruno Latour  called an </w:t>
      </w:r>
      <w:r>
        <w:rPr>
          <w:i/>
          <w:color w:val="000000"/>
          <w:szCs w:val="24"/>
        </w:rPr>
        <w:t>actant</w:t>
      </w:r>
      <w:r>
        <w:rPr>
          <w:color w:val="000000"/>
          <w:szCs w:val="24"/>
        </w:rPr>
        <w:t xml:space="preserve"> in a complex interaction—“</w:t>
      </w:r>
      <w:r>
        <w:rPr>
          <w:i/>
          <w:color w:val="000000"/>
          <w:szCs w:val="24"/>
        </w:rPr>
        <w:t>a parliament of things”</w:t>
      </w:r>
      <w:r>
        <w:rPr>
          <w:color w:val="000000"/>
          <w:szCs w:val="24"/>
        </w:rPr>
        <w:t xml:space="preserve"> (Latour, 1993: 142) not merely as a vehicle for the interaction of a couple: “…as soon as we stop taking nonhumans as objects, as soon as we allow them to enter the collective in the form of new entities with uncertain boundaries, entities that hesitate, quake and induce perplexity, it is not hard to see that we can grant them the designation of actors” (Latour, 2004: 76).</w:t>
      </w:r>
    </w:p>
    <w:p w:rsidR="002D463E" w:rsidRPr="00985103" w:rsidRDefault="002D463E" w:rsidP="002D463E">
      <w:pPr>
        <w:autoSpaceDE w:val="0"/>
        <w:autoSpaceDN w:val="0"/>
        <w:adjustRightInd w:val="0"/>
        <w:rPr>
          <w:color w:val="000000"/>
          <w:szCs w:val="24"/>
        </w:rPr>
      </w:pPr>
    </w:p>
    <w:p w:rsidR="002D463E" w:rsidRPr="002B69A1" w:rsidRDefault="002D463E" w:rsidP="00E35253">
      <w:pPr>
        <w:pStyle w:val="Heading3"/>
      </w:pPr>
      <w:r>
        <w:t>IV.</w:t>
      </w:r>
      <w:r w:rsidRPr="002B69A1">
        <w:t xml:space="preserve"> Still Other Others: Alliance, not Filiation</w:t>
      </w:r>
    </w:p>
    <w:p w:rsidR="002D463E" w:rsidRPr="00985103" w:rsidRDefault="002D463E" w:rsidP="002D463E">
      <w:pPr>
        <w:autoSpaceDE w:val="0"/>
        <w:autoSpaceDN w:val="0"/>
        <w:adjustRightInd w:val="0"/>
        <w:rPr>
          <w:szCs w:val="24"/>
        </w:rPr>
      </w:pPr>
    </w:p>
    <w:p w:rsidR="002D463E" w:rsidRPr="00985103" w:rsidRDefault="002D463E" w:rsidP="002D463E">
      <w:pPr>
        <w:rPr>
          <w:bCs/>
          <w:szCs w:val="24"/>
        </w:rPr>
      </w:pPr>
      <w:r w:rsidRPr="00985103">
        <w:rPr>
          <w:bCs/>
          <w:szCs w:val="24"/>
        </w:rPr>
        <w:t xml:space="preserve">Our </w:t>
      </w:r>
      <w:r>
        <w:rPr>
          <w:bCs/>
          <w:szCs w:val="24"/>
        </w:rPr>
        <w:t xml:space="preserve">narrow </w:t>
      </w:r>
      <w:r w:rsidRPr="00985103">
        <w:rPr>
          <w:bCs/>
          <w:szCs w:val="24"/>
        </w:rPr>
        <w:t xml:space="preserve">view of so-called individuals and so-called dyadic mutualisms opens </w:t>
      </w:r>
      <w:r>
        <w:rPr>
          <w:bCs/>
          <w:szCs w:val="24"/>
        </w:rPr>
        <w:t>wide</w:t>
      </w:r>
      <w:r w:rsidRPr="00985103">
        <w:rPr>
          <w:bCs/>
          <w:szCs w:val="24"/>
        </w:rPr>
        <w:t xml:space="preserve"> when we pay attention to the fact that, “…plants manage simultaneous interactions with diverse organisms”</w:t>
      </w:r>
      <w:r>
        <w:rPr>
          <w:bCs/>
          <w:szCs w:val="24"/>
        </w:rPr>
        <w:t xml:space="preserve"> (</w:t>
      </w:r>
      <w:smartTag w:uri="urn:schemas-microsoft-com:office:smarttags" w:element="place">
        <w:r>
          <w:rPr>
            <w:bCs/>
            <w:szCs w:val="24"/>
          </w:rPr>
          <w:t>Preston</w:t>
        </w:r>
      </w:smartTag>
      <w:r>
        <w:rPr>
          <w:bCs/>
          <w:szCs w:val="24"/>
        </w:rPr>
        <w:t xml:space="preserve">, 2004: 913): insects, fungi, animals, birds, single-celled organisms, other plants. Draw from hundreds of possible examples, here </w:t>
      </w:r>
      <w:r w:rsidRPr="00985103">
        <w:rPr>
          <w:bCs/>
          <w:szCs w:val="24"/>
        </w:rPr>
        <w:t xml:space="preserve">are four </w:t>
      </w:r>
      <w:r>
        <w:rPr>
          <w:bCs/>
          <w:szCs w:val="24"/>
        </w:rPr>
        <w:t xml:space="preserve">well </w:t>
      </w:r>
      <w:r w:rsidRPr="00985103">
        <w:rPr>
          <w:bCs/>
          <w:szCs w:val="24"/>
        </w:rPr>
        <w:t xml:space="preserve">known non-dyadic systems with alliances </w:t>
      </w:r>
      <w:r w:rsidRPr="00955EF9">
        <w:rPr>
          <w:bCs/>
          <w:i/>
          <w:szCs w:val="24"/>
        </w:rPr>
        <w:t>across kingdoms</w:t>
      </w:r>
      <w:r w:rsidRPr="00985103">
        <w:rPr>
          <w:bCs/>
          <w:szCs w:val="24"/>
        </w:rPr>
        <w:t xml:space="preserve">: </w:t>
      </w:r>
    </w:p>
    <w:p w:rsidR="002D463E" w:rsidRPr="00985103" w:rsidRDefault="002D463E" w:rsidP="002D463E">
      <w:pPr>
        <w:rPr>
          <w:bCs/>
          <w:szCs w:val="24"/>
        </w:rPr>
      </w:pPr>
    </w:p>
    <w:p w:rsidR="002D463E" w:rsidRPr="00985103" w:rsidRDefault="002D463E" w:rsidP="000946BF">
      <w:pPr>
        <w:numPr>
          <w:ilvl w:val="0"/>
          <w:numId w:val="3"/>
        </w:numPr>
        <w:rPr>
          <w:bCs/>
          <w:szCs w:val="24"/>
        </w:rPr>
      </w:pPr>
      <w:r w:rsidRPr="00985103">
        <w:rPr>
          <w:bCs/>
          <w:szCs w:val="24"/>
        </w:rPr>
        <w:t xml:space="preserve">There is a beetle </w:t>
      </w:r>
      <w:r>
        <w:rPr>
          <w:bCs/>
          <w:szCs w:val="24"/>
        </w:rPr>
        <w:t>larva that</w:t>
      </w:r>
      <w:r w:rsidRPr="00985103">
        <w:rPr>
          <w:bCs/>
          <w:szCs w:val="24"/>
        </w:rPr>
        <w:t xml:space="preserve"> eats maize. When attacked by these beetles the root systems of the maize emits a chemical which attracts a nematode. This nematode eats the ma</w:t>
      </w:r>
      <w:r>
        <w:rPr>
          <w:bCs/>
          <w:szCs w:val="24"/>
        </w:rPr>
        <w:t xml:space="preserve">ize rootworm (Hitpold </w:t>
      </w:r>
      <w:r w:rsidRPr="00E32D22">
        <w:rPr>
          <w:bCs/>
          <w:szCs w:val="24"/>
        </w:rPr>
        <w:t>et al.</w:t>
      </w:r>
      <w:r>
        <w:rPr>
          <w:bCs/>
          <w:szCs w:val="24"/>
        </w:rPr>
        <w:t>,</w:t>
      </w:r>
      <w:r w:rsidRPr="00E32D22">
        <w:rPr>
          <w:bCs/>
          <w:i/>
          <w:szCs w:val="24"/>
        </w:rPr>
        <w:t xml:space="preserve"> </w:t>
      </w:r>
      <w:r>
        <w:rPr>
          <w:bCs/>
          <w:szCs w:val="24"/>
        </w:rPr>
        <w:t>2010).</w:t>
      </w:r>
      <w:r w:rsidRPr="00985103">
        <w:rPr>
          <w:bCs/>
          <w:szCs w:val="24"/>
        </w:rPr>
        <w:t xml:space="preserve"> </w:t>
      </w:r>
    </w:p>
    <w:p w:rsidR="002D463E" w:rsidRPr="00985103" w:rsidRDefault="002D463E" w:rsidP="000946BF">
      <w:pPr>
        <w:numPr>
          <w:ilvl w:val="0"/>
          <w:numId w:val="3"/>
        </w:numPr>
        <w:rPr>
          <w:i/>
          <w:szCs w:val="24"/>
        </w:rPr>
      </w:pPr>
      <w:r w:rsidRPr="00985103">
        <w:rPr>
          <w:szCs w:val="24"/>
        </w:rPr>
        <w:t>Th</w:t>
      </w:r>
      <w:r>
        <w:rPr>
          <w:szCs w:val="24"/>
        </w:rPr>
        <w:t>ere is an aggressive grass that</w:t>
      </w:r>
      <w:r w:rsidRPr="00985103">
        <w:rPr>
          <w:szCs w:val="24"/>
        </w:rPr>
        <w:t xml:space="preserve"> induces defence in barley. When the roots of barley are stressed by the grass they emit a chemical which re</w:t>
      </w:r>
      <w:r>
        <w:rPr>
          <w:szCs w:val="24"/>
        </w:rPr>
        <w:t>duces the number of aphids that</w:t>
      </w:r>
      <w:r w:rsidRPr="00985103">
        <w:rPr>
          <w:szCs w:val="24"/>
        </w:rPr>
        <w:t xml:space="preserve"> land on the barley</w:t>
      </w:r>
      <w:r>
        <w:rPr>
          <w:szCs w:val="24"/>
        </w:rPr>
        <w:t xml:space="preserve"> (Dewhirst and Pickett, 2010; Glinwood, 2003).</w:t>
      </w:r>
      <w:r w:rsidRPr="00985103">
        <w:rPr>
          <w:szCs w:val="24"/>
        </w:rPr>
        <w:t xml:space="preserve"> </w:t>
      </w:r>
    </w:p>
    <w:p w:rsidR="002D463E" w:rsidRPr="00985103" w:rsidRDefault="002D463E" w:rsidP="000946BF">
      <w:pPr>
        <w:numPr>
          <w:ilvl w:val="0"/>
          <w:numId w:val="3"/>
        </w:numPr>
        <w:rPr>
          <w:i/>
          <w:szCs w:val="24"/>
        </w:rPr>
      </w:pPr>
      <w:r>
        <w:rPr>
          <w:szCs w:val="24"/>
        </w:rPr>
        <w:t>There is an ant that</w:t>
      </w:r>
      <w:r w:rsidRPr="00985103">
        <w:rPr>
          <w:szCs w:val="24"/>
        </w:rPr>
        <w:t xml:space="preserve"> attacks acacia. When attacked the acacia emit</w:t>
      </w:r>
      <w:r>
        <w:rPr>
          <w:szCs w:val="24"/>
        </w:rPr>
        <w:t>s</w:t>
      </w:r>
      <w:r w:rsidRPr="00985103">
        <w:rPr>
          <w:szCs w:val="24"/>
        </w:rPr>
        <w:t xml:space="preserve"> a chemical which attracts or increases the population of bacterial associates</w:t>
      </w:r>
      <w:r>
        <w:rPr>
          <w:szCs w:val="24"/>
        </w:rPr>
        <w:t xml:space="preserve"> (Heil et al., 2010). </w:t>
      </w:r>
    </w:p>
    <w:p w:rsidR="002D463E" w:rsidRPr="00985103" w:rsidRDefault="002D463E" w:rsidP="000946BF">
      <w:pPr>
        <w:numPr>
          <w:ilvl w:val="0"/>
          <w:numId w:val="3"/>
        </w:numPr>
        <w:rPr>
          <w:i/>
          <w:szCs w:val="24"/>
        </w:rPr>
      </w:pPr>
      <w:r w:rsidRPr="00985103">
        <w:rPr>
          <w:szCs w:val="24"/>
        </w:rPr>
        <w:t>There is a bac</w:t>
      </w:r>
      <w:r>
        <w:rPr>
          <w:szCs w:val="24"/>
        </w:rPr>
        <w:t>teria on the tobacco plant that</w:t>
      </w:r>
      <w:r w:rsidRPr="00985103">
        <w:rPr>
          <w:szCs w:val="24"/>
        </w:rPr>
        <w:t xml:space="preserve"> communicates with other bacteria by releasing a lactone (AHL). This lactone increases resistance of the t</w:t>
      </w:r>
      <w:r>
        <w:rPr>
          <w:szCs w:val="24"/>
        </w:rPr>
        <w:t xml:space="preserve">obacco to a certain caterpillar (Heidel et al., 2010). </w:t>
      </w:r>
    </w:p>
    <w:p w:rsidR="002D463E" w:rsidRPr="00985103" w:rsidRDefault="002D463E" w:rsidP="002D463E">
      <w:pPr>
        <w:pStyle w:val="InsideAddress"/>
        <w:spacing w:line="360" w:lineRule="auto"/>
        <w:rPr>
          <w:rFonts w:ascii="Times New Roman" w:hAnsi="Times New Roman"/>
          <w:i/>
          <w:sz w:val="24"/>
          <w:szCs w:val="24"/>
        </w:rPr>
      </w:pPr>
    </w:p>
    <w:p w:rsidR="002D463E" w:rsidRPr="00985103" w:rsidRDefault="002D463E" w:rsidP="002D463E">
      <w:pPr>
        <w:pStyle w:val="InsideAddress"/>
        <w:spacing w:line="360" w:lineRule="auto"/>
        <w:rPr>
          <w:rFonts w:ascii="Times New Roman" w:hAnsi="Times New Roman"/>
          <w:sz w:val="24"/>
          <w:szCs w:val="24"/>
        </w:rPr>
      </w:pPr>
      <w:r w:rsidRPr="00985103">
        <w:rPr>
          <w:rFonts w:ascii="Times New Roman" w:hAnsi="Times New Roman"/>
          <w:sz w:val="24"/>
          <w:szCs w:val="24"/>
        </w:rPr>
        <w:t xml:space="preserve">In this fourth case, </w:t>
      </w:r>
      <w:r>
        <w:rPr>
          <w:rFonts w:ascii="Times New Roman" w:hAnsi="Times New Roman"/>
          <w:sz w:val="24"/>
          <w:szCs w:val="24"/>
        </w:rPr>
        <w:t>the authors</w:t>
      </w:r>
      <w:r w:rsidRPr="00985103">
        <w:rPr>
          <w:rFonts w:ascii="Times New Roman" w:hAnsi="Times New Roman"/>
          <w:i/>
          <w:sz w:val="24"/>
          <w:szCs w:val="24"/>
        </w:rPr>
        <w:t xml:space="preserve"> </w:t>
      </w:r>
      <w:r w:rsidRPr="00985103">
        <w:rPr>
          <w:rFonts w:ascii="Times New Roman" w:hAnsi="Times New Roman"/>
          <w:sz w:val="24"/>
          <w:szCs w:val="24"/>
        </w:rPr>
        <w:t xml:space="preserve">conclude “Our results demonstrate that AHL can affect herbivore resistance, although it is </w:t>
      </w:r>
      <w:r w:rsidRPr="00985103">
        <w:rPr>
          <w:rFonts w:ascii="Times New Roman" w:hAnsi="Times New Roman"/>
          <w:i/>
          <w:sz w:val="24"/>
          <w:szCs w:val="24"/>
        </w:rPr>
        <w:t>not clear whether this is a direct or an indirect effect</w:t>
      </w:r>
      <w:r w:rsidRPr="00985103">
        <w:rPr>
          <w:rFonts w:ascii="Times New Roman" w:hAnsi="Times New Roman"/>
          <w:sz w:val="24"/>
          <w:szCs w:val="24"/>
        </w:rPr>
        <w:t>”</w:t>
      </w:r>
      <w:r>
        <w:rPr>
          <w:rFonts w:ascii="Times New Roman" w:hAnsi="Times New Roman"/>
          <w:sz w:val="24"/>
          <w:szCs w:val="24"/>
        </w:rPr>
        <w:t xml:space="preserve"> (152).</w:t>
      </w:r>
    </w:p>
    <w:p w:rsidR="002D463E" w:rsidRPr="00985103" w:rsidRDefault="002D463E" w:rsidP="002D463E">
      <w:pPr>
        <w:pStyle w:val="InsideAddress"/>
        <w:spacing w:line="360" w:lineRule="auto"/>
        <w:rPr>
          <w:rFonts w:ascii="Times New Roman" w:hAnsi="Times New Roman"/>
          <w:sz w:val="24"/>
          <w:szCs w:val="24"/>
        </w:rPr>
      </w:pPr>
    </w:p>
    <w:p w:rsidR="002D463E" w:rsidRPr="00985103" w:rsidRDefault="002D463E" w:rsidP="002D463E">
      <w:pPr>
        <w:autoSpaceDE w:val="0"/>
        <w:autoSpaceDN w:val="0"/>
        <w:adjustRightInd w:val="0"/>
        <w:rPr>
          <w:bCs/>
          <w:szCs w:val="24"/>
        </w:rPr>
      </w:pPr>
      <w:r>
        <w:rPr>
          <w:szCs w:val="24"/>
        </w:rPr>
        <w:t>What is happening</w:t>
      </w:r>
      <w:r w:rsidRPr="00985103">
        <w:rPr>
          <w:szCs w:val="24"/>
        </w:rPr>
        <w:t xml:space="preserve">? The story that plant signaling happens within or between two, implodes completely. The story, even, that the signaling or communication is initiated within the two creatures by virtue of some force or impulse contained within one of these beings, implodes. The story that these thirds are indirect, accidental and incidental, implodes. </w:t>
      </w:r>
      <w:r>
        <w:rPr>
          <w:bCs/>
          <w:szCs w:val="24"/>
        </w:rPr>
        <w:t xml:space="preserve">The inter-kingdom </w:t>
      </w:r>
      <w:r w:rsidRPr="00985103">
        <w:rPr>
          <w:bCs/>
          <w:szCs w:val="24"/>
        </w:rPr>
        <w:t xml:space="preserve">range and variability of these mechanisms shatters once and for all the hermetic seal of those </w:t>
      </w:r>
      <w:r>
        <w:rPr>
          <w:bCs/>
          <w:szCs w:val="24"/>
        </w:rPr>
        <w:t>dyads. Taken together, these destabilize the underlying narratival axis upon which our confidence in explaining the phenomena even rests: that classical x and y-axes upon which the concepts of</w:t>
      </w:r>
      <w:r w:rsidRPr="00985103">
        <w:rPr>
          <w:bCs/>
          <w:szCs w:val="24"/>
        </w:rPr>
        <w:t xml:space="preserve"> </w:t>
      </w:r>
      <w:r w:rsidRPr="00985103">
        <w:rPr>
          <w:bCs/>
          <w:i/>
          <w:szCs w:val="24"/>
        </w:rPr>
        <w:t>direct versus indirect, origin versus outcome, organic v</w:t>
      </w:r>
      <w:r>
        <w:rPr>
          <w:bCs/>
          <w:i/>
          <w:szCs w:val="24"/>
        </w:rPr>
        <w:t>ersus</w:t>
      </w:r>
      <w:r w:rsidRPr="00985103">
        <w:rPr>
          <w:bCs/>
          <w:i/>
          <w:szCs w:val="24"/>
        </w:rPr>
        <w:t xml:space="preserve"> inorganic, kin versus alien</w:t>
      </w:r>
      <w:r>
        <w:rPr>
          <w:bCs/>
          <w:i/>
          <w:szCs w:val="24"/>
        </w:rPr>
        <w:t xml:space="preserve">, self versus non-self, actor versus object, and even plant versus animal </w:t>
      </w:r>
      <w:r>
        <w:rPr>
          <w:bCs/>
          <w:szCs w:val="24"/>
        </w:rPr>
        <w:t xml:space="preserve">were themselves stabilized and made-meaningful. </w:t>
      </w:r>
      <w:r w:rsidRPr="00985103">
        <w:rPr>
          <w:bCs/>
          <w:i/>
          <w:szCs w:val="24"/>
        </w:rPr>
        <w:t xml:space="preserve"> </w:t>
      </w:r>
    </w:p>
    <w:p w:rsidR="002D463E" w:rsidRPr="00985103" w:rsidRDefault="002D463E" w:rsidP="002D463E">
      <w:pPr>
        <w:autoSpaceDE w:val="0"/>
        <w:autoSpaceDN w:val="0"/>
        <w:adjustRightInd w:val="0"/>
        <w:rPr>
          <w:bCs/>
          <w:szCs w:val="24"/>
        </w:rPr>
      </w:pPr>
    </w:p>
    <w:p w:rsidR="002D463E" w:rsidRPr="002B69A1" w:rsidRDefault="002D463E" w:rsidP="00E35253">
      <w:pPr>
        <w:pStyle w:val="Heading3"/>
      </w:pPr>
      <w:r>
        <w:rPr>
          <w:color w:val="000000"/>
        </w:rPr>
        <w:t>V</w:t>
      </w:r>
      <w:r w:rsidRPr="002B69A1">
        <w:rPr>
          <w:color w:val="000000"/>
        </w:rPr>
        <w:t>.</w:t>
      </w:r>
      <w:r w:rsidRPr="002B69A1">
        <w:t xml:space="preserve"> </w:t>
      </w:r>
      <w:r w:rsidRPr="002B69A1">
        <w:rPr>
          <w:i/>
        </w:rPr>
        <w:t>Where?</w:t>
      </w:r>
      <w:r w:rsidRPr="002B69A1">
        <w:t xml:space="preserve"> Above or Below? Territories or The </w:t>
      </w:r>
      <w:r w:rsidRPr="002B69A1">
        <w:rPr>
          <w:i/>
        </w:rPr>
        <w:t>Rhizosphere</w:t>
      </w:r>
    </w:p>
    <w:p w:rsidR="002D463E" w:rsidRPr="00985103" w:rsidRDefault="002D463E" w:rsidP="002D463E">
      <w:pPr>
        <w:pStyle w:val="InsideAddress"/>
        <w:spacing w:line="360" w:lineRule="auto"/>
        <w:rPr>
          <w:rFonts w:ascii="Times New Roman" w:hAnsi="Times New Roman"/>
          <w:i/>
          <w:sz w:val="24"/>
          <w:szCs w:val="24"/>
        </w:rPr>
      </w:pPr>
    </w:p>
    <w:p w:rsidR="002D463E" w:rsidRPr="00985103" w:rsidRDefault="002D463E" w:rsidP="002D463E">
      <w:pPr>
        <w:autoSpaceDE w:val="0"/>
        <w:autoSpaceDN w:val="0"/>
        <w:adjustRightInd w:val="0"/>
        <w:rPr>
          <w:color w:val="000000"/>
          <w:szCs w:val="24"/>
        </w:rPr>
      </w:pPr>
      <w:r>
        <w:rPr>
          <w:szCs w:val="24"/>
        </w:rPr>
        <w:t>And w</w:t>
      </w:r>
      <w:r w:rsidRPr="00985103">
        <w:rPr>
          <w:szCs w:val="24"/>
        </w:rPr>
        <w:t xml:space="preserve">here </w:t>
      </w:r>
      <w:r>
        <w:rPr>
          <w:szCs w:val="24"/>
        </w:rPr>
        <w:t>are</w:t>
      </w:r>
      <w:r w:rsidRPr="00985103">
        <w:rPr>
          <w:szCs w:val="24"/>
        </w:rPr>
        <w:t xml:space="preserve"> </w:t>
      </w:r>
      <w:r>
        <w:rPr>
          <w:szCs w:val="24"/>
        </w:rPr>
        <w:t xml:space="preserve">we </w:t>
      </w:r>
      <w:r w:rsidRPr="00985103">
        <w:rPr>
          <w:szCs w:val="24"/>
        </w:rPr>
        <w:t xml:space="preserve">even </w:t>
      </w:r>
      <w:r w:rsidRPr="00985103">
        <w:rPr>
          <w:i/>
          <w:szCs w:val="24"/>
        </w:rPr>
        <w:t>look</w:t>
      </w:r>
      <w:r>
        <w:rPr>
          <w:i/>
          <w:szCs w:val="24"/>
        </w:rPr>
        <w:t>ing</w:t>
      </w:r>
      <w:r>
        <w:rPr>
          <w:szCs w:val="24"/>
        </w:rPr>
        <w:t xml:space="preserve"> for signaling?</w:t>
      </w:r>
      <w:r w:rsidRPr="00985103">
        <w:rPr>
          <w:szCs w:val="24"/>
        </w:rPr>
        <w:t xml:space="preserve"> </w:t>
      </w:r>
      <w:r>
        <w:rPr>
          <w:color w:val="000000"/>
          <w:szCs w:val="24"/>
        </w:rPr>
        <w:t>A further uprooting of our confidence</w:t>
      </w:r>
      <w:r w:rsidRPr="00985103">
        <w:rPr>
          <w:color w:val="000000"/>
          <w:szCs w:val="24"/>
        </w:rPr>
        <w:t xml:space="preserve"> occurs when we learn that, while </w:t>
      </w:r>
      <w:r w:rsidRPr="00985103">
        <w:rPr>
          <w:szCs w:val="24"/>
        </w:rPr>
        <w:t>“[m]ost initial studies concentrated on the role of above-ground volatiles”</w:t>
      </w:r>
      <w:r>
        <w:rPr>
          <w:szCs w:val="24"/>
        </w:rPr>
        <w:t xml:space="preserve"> (Dicke et al., 2003: 403)</w:t>
      </w:r>
      <w:r w:rsidRPr="00985103">
        <w:rPr>
          <w:szCs w:val="24"/>
        </w:rPr>
        <w:t xml:space="preserve"> plants, in fact, communicate intra- and inter-specially through other media than air and in different regions than the above-ground. Chemical</w:t>
      </w:r>
      <w:r>
        <w:rPr>
          <w:szCs w:val="24"/>
        </w:rPr>
        <w:t>, mechanical, and electrical</w:t>
      </w:r>
      <w:r w:rsidRPr="00985103">
        <w:rPr>
          <w:szCs w:val="24"/>
        </w:rPr>
        <w:t xml:space="preserve"> signals travel underground. </w:t>
      </w:r>
      <w:r w:rsidRPr="00985103">
        <w:rPr>
          <w:color w:val="000000"/>
          <w:szCs w:val="24"/>
        </w:rPr>
        <w:t>“[T]he connections of unrelated plants underground via mycorrhizal networks might be a major thoroughfare by which information is exchan</w:t>
      </w:r>
      <w:r>
        <w:rPr>
          <w:color w:val="000000"/>
          <w:szCs w:val="24"/>
        </w:rPr>
        <w:t>ged in plant-plant interactions</w:t>
      </w:r>
      <w:r w:rsidRPr="00985103">
        <w:rPr>
          <w:color w:val="000000"/>
          <w:szCs w:val="24"/>
        </w:rPr>
        <w:t>”</w:t>
      </w:r>
      <w:r>
        <w:rPr>
          <w:color w:val="000000"/>
          <w:szCs w:val="24"/>
        </w:rPr>
        <w:t xml:space="preserve"> (403).</w:t>
      </w:r>
      <w:r w:rsidRPr="00985103">
        <w:rPr>
          <w:color w:val="000000"/>
          <w:szCs w:val="24"/>
        </w:rPr>
        <w:t xml:space="preserve"> A recent study designed to control for above-ground transmission confirms the rhizosphere</w:t>
      </w:r>
      <w:r>
        <w:rPr>
          <w:color w:val="000000"/>
          <w:szCs w:val="24"/>
        </w:rPr>
        <w:t>—the “narrow region of soil…immediately adjacent to roots…that is directly influenced by root secretions and associated soil microorganisms” (Wikipedia)—</w:t>
      </w:r>
      <w:r w:rsidRPr="00985103">
        <w:rPr>
          <w:color w:val="000000"/>
          <w:szCs w:val="24"/>
        </w:rPr>
        <w:t>to be a major zone of signaling</w:t>
      </w:r>
      <w:r>
        <w:rPr>
          <w:color w:val="000000"/>
          <w:szCs w:val="24"/>
        </w:rPr>
        <w:t xml:space="preserve"> (Heidel et al., 2010). </w:t>
      </w:r>
    </w:p>
    <w:p w:rsidR="002D463E" w:rsidRPr="00985103" w:rsidRDefault="002D463E" w:rsidP="002D463E">
      <w:pPr>
        <w:autoSpaceDE w:val="0"/>
        <w:autoSpaceDN w:val="0"/>
        <w:adjustRightInd w:val="0"/>
        <w:rPr>
          <w:color w:val="000000"/>
          <w:szCs w:val="24"/>
        </w:rPr>
      </w:pPr>
    </w:p>
    <w:p w:rsidR="002D463E" w:rsidRDefault="002D463E" w:rsidP="002D463E">
      <w:pPr>
        <w:pStyle w:val="EndnoteText"/>
        <w:spacing w:line="360" w:lineRule="auto"/>
        <w:rPr>
          <w:rFonts w:ascii="Times New Roman" w:hAnsi="Times New Roman"/>
          <w:sz w:val="24"/>
          <w:szCs w:val="24"/>
        </w:rPr>
      </w:pPr>
      <w:r w:rsidRPr="00DA67D9">
        <w:rPr>
          <w:rFonts w:ascii="Times New Roman" w:hAnsi="Times New Roman"/>
          <w:sz w:val="24"/>
          <w:szCs w:val="24"/>
        </w:rPr>
        <w:t xml:space="preserve">Naturally we presumed that communication needs ears, human or canine, to pick up vibrations; and noses to pick up olfactory cues; and eagle eyes, or rods and cones, to receive light; and especially mouths, palates, tongues and uvulae to utter words or sound-signals. And naturally we presumed that if </w:t>
      </w:r>
      <w:r w:rsidRPr="00DA67D9">
        <w:rPr>
          <w:rFonts w:ascii="Times New Roman" w:hAnsi="Times New Roman"/>
          <w:i/>
          <w:sz w:val="24"/>
          <w:szCs w:val="24"/>
        </w:rPr>
        <w:t>real</w:t>
      </w:r>
      <w:r w:rsidRPr="00DA67D9">
        <w:rPr>
          <w:rFonts w:ascii="Times New Roman" w:hAnsi="Times New Roman"/>
          <w:sz w:val="24"/>
          <w:szCs w:val="24"/>
        </w:rPr>
        <w:t xml:space="preserve"> communication happens it will be between and across beings with those body parts, and those living in the area of the biosphere we </w:t>
      </w:r>
      <w:r w:rsidRPr="00DA67D9">
        <w:rPr>
          <w:rFonts w:ascii="Times New Roman" w:hAnsi="Times New Roman"/>
          <w:i/>
          <w:sz w:val="24"/>
          <w:szCs w:val="24"/>
        </w:rPr>
        <w:t>communicators</w:t>
      </w:r>
      <w:r w:rsidRPr="00DA67D9">
        <w:rPr>
          <w:rFonts w:ascii="Times New Roman" w:hAnsi="Times New Roman"/>
          <w:sz w:val="24"/>
          <w:szCs w:val="24"/>
        </w:rPr>
        <w:t xml:space="preserve"> inhabit: in air, above ground, out of water, in our ecological territories. Yet, plants enjoy the co-inhabitation of two distinct zones: the sky part and the earth part. Plants enjoy a relation to touch that we do not, by virtue of their straddling two elemental zones: the earth and the air, and growing slowly, into these. As air-breathers they can connect up with anything in that sphere. As earth-touchers, they can connect with anything in that sphere. Do plants enjoy qual</w:t>
      </w:r>
      <w:r>
        <w:rPr>
          <w:rFonts w:ascii="Times New Roman" w:hAnsi="Times New Roman"/>
          <w:sz w:val="24"/>
          <w:szCs w:val="24"/>
        </w:rPr>
        <w:t>ities and freedoms of movements—</w:t>
      </w:r>
      <w:r w:rsidRPr="00DA67D9">
        <w:rPr>
          <w:rFonts w:ascii="Times New Roman" w:hAnsi="Times New Roman"/>
          <w:sz w:val="24"/>
          <w:szCs w:val="24"/>
        </w:rPr>
        <w:t>passions even perhaps</w:t>
      </w:r>
      <w:r>
        <w:rPr>
          <w:rFonts w:ascii="Times New Roman" w:hAnsi="Times New Roman"/>
          <w:sz w:val="24"/>
          <w:szCs w:val="24"/>
        </w:rPr>
        <w:t>—</w:t>
      </w:r>
      <w:r w:rsidRPr="00DA67D9">
        <w:rPr>
          <w:rFonts w:ascii="Times New Roman" w:hAnsi="Times New Roman"/>
          <w:sz w:val="24"/>
          <w:szCs w:val="24"/>
        </w:rPr>
        <w:t xml:space="preserve">not available on the surface? French philosopher Luce Irigaray writes, of the passions:  “Touching is hidden away…beneath the earth…In the damp, soft warmth some contact would persist…If it does not die completely, it is because it remains still under the earth” (Irigaray, 1992: 33). In her major ethical treatise, </w:t>
      </w:r>
      <w:r w:rsidRPr="000A2C84">
        <w:rPr>
          <w:rFonts w:ascii="Times New Roman" w:hAnsi="Times New Roman"/>
          <w:i/>
          <w:sz w:val="24"/>
          <w:szCs w:val="24"/>
        </w:rPr>
        <w:t>An Ethics of Sexual Difference</w:t>
      </w:r>
      <w:r w:rsidRPr="00DA67D9">
        <w:rPr>
          <w:rFonts w:ascii="Times New Roman" w:hAnsi="Times New Roman"/>
          <w:sz w:val="24"/>
          <w:szCs w:val="24"/>
        </w:rPr>
        <w:t xml:space="preserve"> where Irigaray works out what would be required of us, and a world, in order to live harmoniously and lovingly together among genuine difference, she admonishes: </w:t>
      </w:r>
    </w:p>
    <w:p w:rsidR="002D463E" w:rsidRDefault="002D463E" w:rsidP="002D463E">
      <w:pPr>
        <w:pStyle w:val="EndnoteText"/>
        <w:ind w:left="737" w:right="737"/>
        <w:rPr>
          <w:rFonts w:ascii="Times New Roman" w:hAnsi="Times New Roman"/>
          <w:sz w:val="24"/>
          <w:szCs w:val="24"/>
        </w:rPr>
      </w:pPr>
    </w:p>
    <w:p w:rsidR="002D463E" w:rsidRDefault="002D463E" w:rsidP="00A30E4F">
      <w:pPr>
        <w:pStyle w:val="EndnoteText"/>
        <w:spacing w:line="360" w:lineRule="auto"/>
        <w:ind w:left="737" w:right="737"/>
        <w:rPr>
          <w:rFonts w:ascii="Times New Roman" w:hAnsi="Times New Roman"/>
          <w:sz w:val="24"/>
          <w:szCs w:val="24"/>
        </w:rPr>
      </w:pPr>
      <w:r>
        <w:rPr>
          <w:rFonts w:ascii="Times New Roman" w:hAnsi="Times New Roman"/>
          <w:sz w:val="24"/>
          <w:szCs w:val="24"/>
        </w:rPr>
        <w:t>We need to</w:t>
      </w:r>
      <w:r w:rsidRPr="00DA67D9">
        <w:rPr>
          <w:rFonts w:ascii="Times New Roman" w:hAnsi="Times New Roman"/>
          <w:sz w:val="24"/>
          <w:szCs w:val="24"/>
        </w:rPr>
        <w:t>…remember or learn about the role</w:t>
      </w:r>
      <w:r>
        <w:rPr>
          <w:rFonts w:ascii="Times New Roman" w:hAnsi="Times New Roman"/>
          <w:sz w:val="24"/>
          <w:szCs w:val="24"/>
        </w:rPr>
        <w:t xml:space="preserve"> of movement in the passions.…</w:t>
      </w:r>
      <w:r w:rsidRPr="00DA67D9">
        <w:rPr>
          <w:rFonts w:ascii="Times New Roman" w:hAnsi="Times New Roman"/>
          <w:sz w:val="24"/>
          <w:szCs w:val="24"/>
        </w:rPr>
        <w:t>all forms of passively experienced passions in which the subject is enclosed, constrained, deprived of its roots, whether vegetal and earthly or ideal and heavenly. Sap no longer circulates between the beginning and the end of its incarnation</w:t>
      </w:r>
      <w:r>
        <w:rPr>
          <w:rFonts w:ascii="Times New Roman" w:hAnsi="Times New Roman"/>
          <w:sz w:val="24"/>
          <w:szCs w:val="24"/>
        </w:rPr>
        <w:t xml:space="preserve"> </w:t>
      </w:r>
      <w:r w:rsidRPr="00DA67D9">
        <w:rPr>
          <w:rFonts w:ascii="Times New Roman" w:hAnsi="Times New Roman"/>
          <w:sz w:val="24"/>
          <w:szCs w:val="24"/>
        </w:rPr>
        <w:t xml:space="preserve">(Irigaray 1993, pp 72-3). </w:t>
      </w:r>
    </w:p>
    <w:p w:rsidR="002D463E" w:rsidRDefault="002D463E" w:rsidP="002D463E">
      <w:pPr>
        <w:pStyle w:val="EndnoteText"/>
        <w:spacing w:line="360" w:lineRule="auto"/>
        <w:rPr>
          <w:rFonts w:ascii="Times New Roman" w:hAnsi="Times New Roman"/>
          <w:color w:val="000000"/>
          <w:sz w:val="24"/>
          <w:szCs w:val="24"/>
        </w:rPr>
      </w:pPr>
    </w:p>
    <w:p w:rsidR="002D463E" w:rsidRDefault="002D463E" w:rsidP="002D463E">
      <w:pPr>
        <w:pStyle w:val="EndnoteText"/>
        <w:spacing w:line="360" w:lineRule="auto"/>
        <w:rPr>
          <w:rFonts w:ascii="Times New Roman" w:hAnsi="Times New Roman"/>
          <w:color w:val="000000"/>
          <w:sz w:val="24"/>
          <w:szCs w:val="24"/>
        </w:rPr>
      </w:pPr>
      <w:r w:rsidRPr="00DA67D9">
        <w:rPr>
          <w:rFonts w:ascii="Times New Roman" w:hAnsi="Times New Roman"/>
          <w:color w:val="000000"/>
          <w:sz w:val="24"/>
          <w:szCs w:val="24"/>
        </w:rPr>
        <w:t xml:space="preserve">Plants </w:t>
      </w:r>
      <w:r w:rsidRPr="00D840BE">
        <w:rPr>
          <w:rFonts w:ascii="Times New Roman" w:hAnsi="Times New Roman"/>
          <w:i/>
          <w:color w:val="000000"/>
          <w:sz w:val="24"/>
          <w:szCs w:val="24"/>
        </w:rPr>
        <w:t>could</w:t>
      </w:r>
      <w:r w:rsidRPr="00DA67D9">
        <w:rPr>
          <w:rFonts w:ascii="Times New Roman" w:hAnsi="Times New Roman"/>
          <w:color w:val="000000"/>
          <w:sz w:val="24"/>
          <w:szCs w:val="24"/>
        </w:rPr>
        <w:t xml:space="preserve"> remind us of our passions because they express differently. And fish, living another range to emit and receive</w:t>
      </w:r>
      <w:r>
        <w:rPr>
          <w:rFonts w:ascii="Times New Roman" w:hAnsi="Times New Roman"/>
          <w:color w:val="000000"/>
          <w:sz w:val="24"/>
          <w:szCs w:val="24"/>
        </w:rPr>
        <w:t>,</w:t>
      </w:r>
      <w:r w:rsidRPr="00DA67D9">
        <w:rPr>
          <w:rFonts w:ascii="Times New Roman" w:hAnsi="Times New Roman"/>
          <w:color w:val="000000"/>
          <w:sz w:val="24"/>
          <w:szCs w:val="24"/>
        </w:rPr>
        <w:t xml:space="preserve"> within. And cormorants, air and water. Bac</w:t>
      </w:r>
      <w:r>
        <w:rPr>
          <w:rFonts w:ascii="Times New Roman" w:hAnsi="Times New Roman"/>
          <w:color w:val="000000"/>
          <w:sz w:val="24"/>
          <w:szCs w:val="24"/>
        </w:rPr>
        <w:t xml:space="preserve">teria: every possible zone, </w:t>
      </w:r>
      <w:r w:rsidRPr="00DA67D9">
        <w:rPr>
          <w:rFonts w:ascii="Times New Roman" w:hAnsi="Times New Roman"/>
          <w:color w:val="000000"/>
          <w:sz w:val="24"/>
          <w:szCs w:val="24"/>
        </w:rPr>
        <w:t xml:space="preserve">in motion and rest. Fetuses: </w:t>
      </w:r>
      <w:r>
        <w:rPr>
          <w:rFonts w:ascii="Times New Roman" w:hAnsi="Times New Roman"/>
          <w:color w:val="000000"/>
          <w:sz w:val="24"/>
          <w:szCs w:val="24"/>
        </w:rPr>
        <w:t xml:space="preserve">typically </w:t>
      </w:r>
      <w:r w:rsidRPr="00DA67D9">
        <w:rPr>
          <w:rFonts w:ascii="Times New Roman" w:hAnsi="Times New Roman"/>
          <w:color w:val="000000"/>
          <w:sz w:val="24"/>
          <w:szCs w:val="24"/>
        </w:rPr>
        <w:t xml:space="preserve">water </w:t>
      </w:r>
      <w:r>
        <w:rPr>
          <w:rFonts w:ascii="Times New Roman" w:hAnsi="Times New Roman"/>
          <w:color w:val="000000"/>
          <w:sz w:val="24"/>
          <w:szCs w:val="24"/>
        </w:rPr>
        <w:t xml:space="preserve">and </w:t>
      </w:r>
      <w:r w:rsidRPr="00DA67D9">
        <w:rPr>
          <w:rFonts w:ascii="Times New Roman" w:hAnsi="Times New Roman"/>
          <w:color w:val="000000"/>
          <w:sz w:val="24"/>
          <w:szCs w:val="24"/>
        </w:rPr>
        <w:t>then air.</w:t>
      </w:r>
    </w:p>
    <w:p w:rsidR="002D463E" w:rsidRPr="00DA67D9" w:rsidRDefault="002D463E" w:rsidP="002D463E">
      <w:pPr>
        <w:pStyle w:val="EndnoteText"/>
        <w:spacing w:line="360" w:lineRule="auto"/>
        <w:rPr>
          <w:rFonts w:ascii="Times New Roman" w:hAnsi="Times New Roman"/>
          <w:color w:val="000000"/>
          <w:sz w:val="24"/>
          <w:szCs w:val="24"/>
        </w:rPr>
      </w:pPr>
    </w:p>
    <w:p w:rsidR="002D463E" w:rsidRPr="00985103" w:rsidRDefault="002D463E" w:rsidP="002D463E">
      <w:pPr>
        <w:pStyle w:val="InsideAddress"/>
        <w:spacing w:line="360" w:lineRule="auto"/>
        <w:rPr>
          <w:rFonts w:ascii="Times New Roman" w:hAnsi="Times New Roman"/>
          <w:color w:val="000000"/>
          <w:kern w:val="0"/>
          <w:sz w:val="24"/>
          <w:szCs w:val="24"/>
        </w:rPr>
      </w:pPr>
      <w:r w:rsidRPr="001A1060">
        <w:rPr>
          <w:rFonts w:ascii="Times New Roman" w:hAnsi="Times New Roman"/>
          <w:i/>
          <w:color w:val="000000"/>
          <w:kern w:val="0"/>
          <w:sz w:val="24"/>
          <w:szCs w:val="24"/>
        </w:rPr>
        <w:t>Signaling</w:t>
      </w:r>
      <w:r w:rsidRPr="00985103">
        <w:rPr>
          <w:rFonts w:ascii="Times New Roman" w:hAnsi="Times New Roman"/>
          <w:color w:val="000000"/>
          <w:kern w:val="0"/>
          <w:sz w:val="24"/>
          <w:szCs w:val="24"/>
        </w:rPr>
        <w:t xml:space="preserve"> through any and all means</w:t>
      </w:r>
      <w:r>
        <w:rPr>
          <w:rFonts w:ascii="Times New Roman" w:hAnsi="Times New Roman"/>
          <w:color w:val="000000"/>
          <w:kern w:val="0"/>
          <w:sz w:val="24"/>
          <w:szCs w:val="24"/>
        </w:rPr>
        <w:t>, through any and all</w:t>
      </w:r>
      <w:r w:rsidRPr="00985103">
        <w:rPr>
          <w:rFonts w:ascii="Times New Roman" w:hAnsi="Times New Roman"/>
          <w:color w:val="000000"/>
          <w:kern w:val="0"/>
          <w:sz w:val="24"/>
          <w:szCs w:val="24"/>
        </w:rPr>
        <w:t xml:space="preserve"> in-between</w:t>
      </w:r>
      <w:r>
        <w:rPr>
          <w:rFonts w:ascii="Times New Roman" w:hAnsi="Times New Roman"/>
          <w:color w:val="000000"/>
          <w:kern w:val="0"/>
          <w:sz w:val="24"/>
          <w:szCs w:val="24"/>
        </w:rPr>
        <w:t>s,</w:t>
      </w:r>
      <w:r w:rsidRPr="00985103">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is </w:t>
      </w:r>
      <w:r w:rsidRPr="00985103">
        <w:rPr>
          <w:rFonts w:ascii="Times New Roman" w:hAnsi="Times New Roman"/>
          <w:color w:val="000000"/>
          <w:kern w:val="0"/>
          <w:sz w:val="24"/>
          <w:szCs w:val="24"/>
        </w:rPr>
        <w:t xml:space="preserve">wherever and </w:t>
      </w:r>
      <w:r>
        <w:rPr>
          <w:rFonts w:ascii="Times New Roman" w:hAnsi="Times New Roman"/>
          <w:color w:val="000000"/>
          <w:kern w:val="0"/>
          <w:sz w:val="24"/>
          <w:szCs w:val="24"/>
        </w:rPr>
        <w:t>whatever “emits”</w:t>
      </w:r>
      <w:r w:rsidRPr="00985103">
        <w:rPr>
          <w:rFonts w:ascii="Times New Roman" w:hAnsi="Times New Roman"/>
          <w:color w:val="000000"/>
          <w:kern w:val="0"/>
          <w:sz w:val="24"/>
          <w:szCs w:val="24"/>
        </w:rPr>
        <w:t xml:space="preserve"> and receives chemical, mechanical, photovoltaic, kinetic “part</w:t>
      </w:r>
      <w:r>
        <w:rPr>
          <w:rFonts w:ascii="Times New Roman" w:hAnsi="Times New Roman"/>
          <w:color w:val="000000"/>
          <w:kern w:val="0"/>
          <w:sz w:val="24"/>
          <w:szCs w:val="24"/>
        </w:rPr>
        <w:t xml:space="preserve">icles.” </w:t>
      </w:r>
      <w:r w:rsidRPr="00985103">
        <w:rPr>
          <w:rFonts w:ascii="Times New Roman" w:hAnsi="Times New Roman"/>
          <w:color w:val="000000"/>
          <w:kern w:val="0"/>
          <w:sz w:val="24"/>
          <w:szCs w:val="24"/>
        </w:rPr>
        <w:t>The</w:t>
      </w:r>
      <w:r>
        <w:rPr>
          <w:rFonts w:ascii="Times New Roman" w:hAnsi="Times New Roman"/>
          <w:color w:val="000000"/>
          <w:kern w:val="0"/>
          <w:sz w:val="24"/>
          <w:szCs w:val="24"/>
        </w:rPr>
        <w:t xml:space="preserve"> elemental planes—</w:t>
      </w:r>
      <w:r w:rsidRPr="00985103">
        <w:rPr>
          <w:rFonts w:ascii="Times New Roman" w:hAnsi="Times New Roman"/>
          <w:color w:val="000000"/>
          <w:kern w:val="0"/>
          <w:sz w:val="24"/>
          <w:szCs w:val="24"/>
        </w:rPr>
        <w:t>e</w:t>
      </w:r>
      <w:r>
        <w:rPr>
          <w:rFonts w:ascii="Times New Roman" w:hAnsi="Times New Roman"/>
          <w:color w:val="000000"/>
          <w:kern w:val="0"/>
          <w:sz w:val="24"/>
          <w:szCs w:val="24"/>
        </w:rPr>
        <w:t>arth, air, fire, water—</w:t>
      </w:r>
      <w:r w:rsidRPr="00985103">
        <w:rPr>
          <w:rFonts w:ascii="Times New Roman" w:hAnsi="Times New Roman"/>
          <w:color w:val="000000"/>
          <w:kern w:val="0"/>
          <w:sz w:val="24"/>
          <w:szCs w:val="24"/>
        </w:rPr>
        <w:t xml:space="preserve">are not merely background </w:t>
      </w:r>
      <w:r>
        <w:rPr>
          <w:rFonts w:ascii="Times New Roman" w:hAnsi="Times New Roman"/>
          <w:color w:val="000000"/>
          <w:kern w:val="0"/>
          <w:sz w:val="24"/>
          <w:szCs w:val="24"/>
        </w:rPr>
        <w:t>elements</w:t>
      </w:r>
      <w:r w:rsidRPr="00985103">
        <w:rPr>
          <w:rFonts w:ascii="Times New Roman" w:hAnsi="Times New Roman"/>
          <w:color w:val="000000"/>
          <w:kern w:val="0"/>
          <w:sz w:val="24"/>
          <w:szCs w:val="24"/>
        </w:rPr>
        <w:t xml:space="preserve"> for </w:t>
      </w:r>
      <w:r>
        <w:rPr>
          <w:rFonts w:ascii="Times New Roman" w:hAnsi="Times New Roman"/>
          <w:color w:val="000000"/>
          <w:kern w:val="0"/>
          <w:sz w:val="24"/>
          <w:szCs w:val="24"/>
        </w:rPr>
        <w:t xml:space="preserve">other genuine organic </w:t>
      </w:r>
      <w:r w:rsidRPr="00985103">
        <w:rPr>
          <w:rFonts w:ascii="Times New Roman" w:hAnsi="Times New Roman"/>
          <w:color w:val="000000"/>
          <w:kern w:val="0"/>
          <w:sz w:val="24"/>
          <w:szCs w:val="24"/>
        </w:rPr>
        <w:t xml:space="preserve">communication to </w:t>
      </w:r>
      <w:r>
        <w:rPr>
          <w:rFonts w:ascii="Times New Roman" w:hAnsi="Times New Roman"/>
          <w:color w:val="000000"/>
          <w:kern w:val="0"/>
          <w:sz w:val="24"/>
          <w:szCs w:val="24"/>
        </w:rPr>
        <w:t>use in the service of real communication among genuine communicators</w:t>
      </w:r>
      <w:r w:rsidRPr="00985103">
        <w:rPr>
          <w:rFonts w:ascii="Times New Roman" w:hAnsi="Times New Roman"/>
          <w:color w:val="000000"/>
          <w:kern w:val="0"/>
          <w:sz w:val="24"/>
          <w:szCs w:val="24"/>
        </w:rPr>
        <w:t xml:space="preserve">. Rather, </w:t>
      </w:r>
      <w:r>
        <w:rPr>
          <w:rFonts w:ascii="Times New Roman" w:hAnsi="Times New Roman"/>
          <w:color w:val="000000"/>
          <w:kern w:val="0"/>
          <w:sz w:val="24"/>
          <w:szCs w:val="24"/>
        </w:rPr>
        <w:t xml:space="preserve">it seems that </w:t>
      </w:r>
      <w:r w:rsidRPr="00985103">
        <w:rPr>
          <w:rFonts w:ascii="Times New Roman" w:hAnsi="Times New Roman"/>
          <w:color w:val="000000"/>
          <w:kern w:val="0"/>
          <w:sz w:val="24"/>
          <w:szCs w:val="24"/>
        </w:rPr>
        <w:t>these</w:t>
      </w:r>
      <w:r>
        <w:rPr>
          <w:rFonts w:ascii="Times New Roman" w:hAnsi="Times New Roman"/>
          <w:color w:val="000000"/>
          <w:kern w:val="0"/>
          <w:sz w:val="24"/>
          <w:szCs w:val="24"/>
        </w:rPr>
        <w:t xml:space="preserve">, as well, </w:t>
      </w:r>
      <w:r w:rsidRPr="00985103">
        <w:rPr>
          <w:rFonts w:ascii="Times New Roman" w:hAnsi="Times New Roman"/>
          <w:color w:val="000000"/>
          <w:kern w:val="0"/>
          <w:sz w:val="24"/>
          <w:szCs w:val="24"/>
        </w:rPr>
        <w:t xml:space="preserve">are </w:t>
      </w:r>
      <w:r>
        <w:rPr>
          <w:rFonts w:ascii="Times New Roman" w:hAnsi="Times New Roman"/>
          <w:color w:val="000000"/>
          <w:kern w:val="0"/>
          <w:sz w:val="24"/>
          <w:szCs w:val="24"/>
        </w:rPr>
        <w:t>the agents of communication: “the Mechanosphere, or rhizosphere” (Deleuze and Guattari, 1987: 74).</w:t>
      </w:r>
    </w:p>
    <w:p w:rsidR="002D463E" w:rsidRPr="00985103" w:rsidRDefault="002D463E" w:rsidP="002D463E">
      <w:pPr>
        <w:autoSpaceDE w:val="0"/>
        <w:autoSpaceDN w:val="0"/>
        <w:adjustRightInd w:val="0"/>
        <w:rPr>
          <w:b/>
          <w:szCs w:val="24"/>
          <w:u w:val="single"/>
        </w:rPr>
      </w:pPr>
    </w:p>
    <w:p w:rsidR="002D463E" w:rsidRPr="002B69A1" w:rsidRDefault="002D463E" w:rsidP="00E35253">
      <w:pPr>
        <w:pStyle w:val="Heading3"/>
      </w:pPr>
      <w:r>
        <w:t>VI</w:t>
      </w:r>
      <w:r w:rsidRPr="002B69A1">
        <w:t>. Multiple, fine…but still therefore Beneficial?</w:t>
      </w:r>
    </w:p>
    <w:p w:rsidR="002D463E" w:rsidRPr="00985103" w:rsidRDefault="002D463E" w:rsidP="002D463E">
      <w:pPr>
        <w:autoSpaceDE w:val="0"/>
        <w:autoSpaceDN w:val="0"/>
        <w:adjustRightInd w:val="0"/>
        <w:rPr>
          <w:b/>
          <w:szCs w:val="24"/>
          <w:u w:val="single"/>
        </w:rPr>
      </w:pPr>
    </w:p>
    <w:p w:rsidR="002D463E" w:rsidRDefault="002D463E" w:rsidP="002D463E">
      <w:pPr>
        <w:autoSpaceDE w:val="0"/>
        <w:autoSpaceDN w:val="0"/>
        <w:adjustRightInd w:val="0"/>
        <w:rPr>
          <w:szCs w:val="24"/>
        </w:rPr>
      </w:pPr>
      <w:r>
        <w:rPr>
          <w:szCs w:val="24"/>
        </w:rPr>
        <w:t xml:space="preserve">We tried to keep </w:t>
      </w:r>
      <w:r w:rsidRPr="001A1060">
        <w:rPr>
          <w:i/>
          <w:szCs w:val="24"/>
        </w:rPr>
        <w:t>mutuality</w:t>
      </w:r>
      <w:r w:rsidRPr="00985103">
        <w:rPr>
          <w:szCs w:val="24"/>
        </w:rPr>
        <w:t xml:space="preserve"> contained to the couple, </w:t>
      </w:r>
      <w:r>
        <w:rPr>
          <w:szCs w:val="24"/>
        </w:rPr>
        <w:t>but</w:t>
      </w:r>
      <w:r w:rsidRPr="00985103">
        <w:rPr>
          <w:szCs w:val="24"/>
        </w:rPr>
        <w:t xml:space="preserve"> could not. </w:t>
      </w:r>
    </w:p>
    <w:p w:rsidR="002D463E" w:rsidRDefault="002D463E" w:rsidP="002D463E">
      <w:pPr>
        <w:autoSpaceDE w:val="0"/>
        <w:autoSpaceDN w:val="0"/>
        <w:adjustRightInd w:val="0"/>
        <w:rPr>
          <w:szCs w:val="24"/>
        </w:rPr>
      </w:pPr>
    </w:p>
    <w:p w:rsidR="002D463E" w:rsidRPr="00985103" w:rsidRDefault="002D463E" w:rsidP="002D463E">
      <w:pPr>
        <w:pStyle w:val="InsideAddress"/>
        <w:spacing w:line="360" w:lineRule="auto"/>
        <w:rPr>
          <w:rFonts w:ascii="Times New Roman" w:hAnsi="Times New Roman"/>
          <w:sz w:val="24"/>
          <w:szCs w:val="24"/>
        </w:rPr>
      </w:pPr>
      <w:r w:rsidRPr="001A1060">
        <w:rPr>
          <w:rFonts w:ascii="Times New Roman" w:hAnsi="Times New Roman"/>
          <w:kern w:val="0"/>
          <w:sz w:val="24"/>
          <w:szCs w:val="24"/>
        </w:rPr>
        <w:t xml:space="preserve">What about that other forceful prong of function: the premise of </w:t>
      </w:r>
      <w:r w:rsidRPr="001A1060">
        <w:rPr>
          <w:rFonts w:ascii="Times New Roman" w:hAnsi="Times New Roman"/>
          <w:i/>
          <w:kern w:val="0"/>
          <w:sz w:val="24"/>
          <w:szCs w:val="24"/>
        </w:rPr>
        <w:t>benefit</w:t>
      </w:r>
      <w:r w:rsidRPr="001A1060">
        <w:rPr>
          <w:rFonts w:ascii="Times New Roman" w:hAnsi="Times New Roman"/>
          <w:kern w:val="0"/>
          <w:sz w:val="24"/>
          <w:szCs w:val="24"/>
        </w:rPr>
        <w:t xml:space="preserve"> that “…each partner depends directly on the other for its reproduction”? </w:t>
      </w:r>
    </w:p>
    <w:p w:rsidR="002D463E" w:rsidRPr="00985103" w:rsidRDefault="002D463E" w:rsidP="002D463E">
      <w:pPr>
        <w:autoSpaceDE w:val="0"/>
        <w:autoSpaceDN w:val="0"/>
        <w:adjustRightInd w:val="0"/>
        <w:rPr>
          <w:szCs w:val="24"/>
        </w:rPr>
      </w:pPr>
    </w:p>
    <w:p w:rsidR="002D463E" w:rsidRPr="00985103"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T</w:t>
      </w:r>
      <w:r w:rsidRPr="00985103">
        <w:rPr>
          <w:rFonts w:ascii="Times New Roman" w:hAnsi="Times New Roman"/>
          <w:kern w:val="0"/>
          <w:sz w:val="24"/>
          <w:szCs w:val="24"/>
        </w:rPr>
        <w:t xml:space="preserve">he strongest pushback against </w:t>
      </w:r>
      <w:r>
        <w:rPr>
          <w:rFonts w:ascii="Times New Roman" w:hAnsi="Times New Roman"/>
          <w:kern w:val="0"/>
          <w:sz w:val="24"/>
          <w:szCs w:val="24"/>
        </w:rPr>
        <w:t>any</w:t>
      </w:r>
      <w:r w:rsidRPr="00985103">
        <w:rPr>
          <w:rFonts w:ascii="Times New Roman" w:hAnsi="Times New Roman"/>
          <w:kern w:val="0"/>
          <w:sz w:val="24"/>
          <w:szCs w:val="24"/>
        </w:rPr>
        <w:t xml:space="preserve"> straightforw</w:t>
      </w:r>
      <w:r>
        <w:rPr>
          <w:rFonts w:ascii="Times New Roman" w:hAnsi="Times New Roman"/>
          <w:kern w:val="0"/>
          <w:sz w:val="24"/>
          <w:szCs w:val="24"/>
        </w:rPr>
        <w:t>ard mutualism premise is this: t</w:t>
      </w:r>
      <w:r w:rsidRPr="00985103">
        <w:rPr>
          <w:rFonts w:ascii="Times New Roman" w:hAnsi="Times New Roman"/>
          <w:kern w:val="0"/>
          <w:sz w:val="24"/>
          <w:szCs w:val="24"/>
        </w:rPr>
        <w:t xml:space="preserve">here seem to be </w:t>
      </w:r>
      <w:r w:rsidRPr="00985103">
        <w:rPr>
          <w:rFonts w:ascii="Times New Roman" w:hAnsi="Times New Roman"/>
          <w:i/>
          <w:kern w:val="0"/>
          <w:sz w:val="24"/>
          <w:szCs w:val="24"/>
        </w:rPr>
        <w:t>as many interspecies cases</w:t>
      </w:r>
      <w:r w:rsidRPr="00985103">
        <w:rPr>
          <w:rFonts w:ascii="Times New Roman" w:hAnsi="Times New Roman"/>
          <w:kern w:val="0"/>
          <w:sz w:val="24"/>
          <w:szCs w:val="24"/>
        </w:rPr>
        <w:t xml:space="preserve"> where there are </w:t>
      </w:r>
      <w:r w:rsidRPr="00B76F7F">
        <w:rPr>
          <w:rFonts w:ascii="Times New Roman" w:hAnsi="Times New Roman"/>
          <w:i/>
          <w:kern w:val="0"/>
          <w:sz w:val="24"/>
          <w:szCs w:val="24"/>
        </w:rPr>
        <w:t xml:space="preserve">no obvious positive fitness consequences to </w:t>
      </w:r>
      <w:r>
        <w:rPr>
          <w:rFonts w:ascii="Times New Roman" w:hAnsi="Times New Roman"/>
          <w:i/>
          <w:kern w:val="0"/>
          <w:sz w:val="24"/>
          <w:szCs w:val="24"/>
        </w:rPr>
        <w:t>the “</w:t>
      </w:r>
      <w:r w:rsidRPr="00B76F7F">
        <w:rPr>
          <w:rFonts w:ascii="Times New Roman" w:hAnsi="Times New Roman"/>
          <w:i/>
          <w:kern w:val="0"/>
          <w:sz w:val="24"/>
          <w:szCs w:val="24"/>
        </w:rPr>
        <w:t>emitter</w:t>
      </w:r>
      <w:r>
        <w:rPr>
          <w:rFonts w:ascii="Times New Roman" w:hAnsi="Times New Roman"/>
          <w:i/>
          <w:kern w:val="0"/>
          <w:sz w:val="24"/>
          <w:szCs w:val="24"/>
        </w:rPr>
        <w:t>”</w:t>
      </w:r>
      <w:r w:rsidRPr="00B76F7F">
        <w:rPr>
          <w:rFonts w:ascii="Times New Roman" w:hAnsi="Times New Roman"/>
          <w:i/>
          <w:kern w:val="0"/>
          <w:sz w:val="24"/>
          <w:szCs w:val="24"/>
        </w:rPr>
        <w:t xml:space="preserve"> at all</w:t>
      </w:r>
      <w:r>
        <w:rPr>
          <w:rFonts w:ascii="Times New Roman" w:hAnsi="Times New Roman"/>
          <w:kern w:val="0"/>
          <w:sz w:val="24"/>
          <w:szCs w:val="24"/>
        </w:rPr>
        <w:t>, let alone a short stretch</w:t>
      </w:r>
      <w:r w:rsidRPr="00985103">
        <w:rPr>
          <w:rFonts w:ascii="Times New Roman" w:hAnsi="Times New Roman"/>
          <w:kern w:val="0"/>
          <w:sz w:val="24"/>
          <w:szCs w:val="24"/>
        </w:rPr>
        <w:t xml:space="preserve"> of benefits followed by d</w:t>
      </w:r>
      <w:r>
        <w:rPr>
          <w:rFonts w:ascii="Times New Roman" w:hAnsi="Times New Roman"/>
          <w:kern w:val="0"/>
          <w:sz w:val="24"/>
          <w:szCs w:val="24"/>
        </w:rPr>
        <w:t>own turn.</w:t>
      </w:r>
      <w:r w:rsidRPr="00985103">
        <w:rPr>
          <w:rFonts w:ascii="Times New Roman" w:hAnsi="Times New Roman"/>
          <w:kern w:val="0"/>
          <w:sz w:val="24"/>
          <w:szCs w:val="24"/>
        </w:rPr>
        <w:t xml:space="preserve"> There are many instances where </w:t>
      </w:r>
      <w:r w:rsidRPr="00985103">
        <w:rPr>
          <w:rFonts w:ascii="Times New Roman" w:hAnsi="Times New Roman"/>
          <w:sz w:val="24"/>
          <w:szCs w:val="24"/>
        </w:rPr>
        <w:t>“Attacked con-specifics ‘warn’ neighbors but do not themselves get anything “back” for it</w:t>
      </w:r>
      <w:r>
        <w:rPr>
          <w:rFonts w:ascii="Times New Roman" w:hAnsi="Times New Roman"/>
          <w:sz w:val="24"/>
          <w:szCs w:val="24"/>
        </w:rPr>
        <w:t>….</w:t>
      </w:r>
      <w:r w:rsidRPr="00985103">
        <w:rPr>
          <w:rFonts w:ascii="Times New Roman" w:hAnsi="Times New Roman"/>
          <w:sz w:val="24"/>
          <w:szCs w:val="24"/>
        </w:rPr>
        <w:t xml:space="preserve"> </w:t>
      </w:r>
      <w:r w:rsidRPr="00985103">
        <w:rPr>
          <w:rFonts w:ascii="Times New Roman" w:hAnsi="Times New Roman"/>
          <w:kern w:val="0"/>
          <w:sz w:val="24"/>
          <w:szCs w:val="24"/>
        </w:rPr>
        <w:t>Airborne signals usually improve the resistance of the receiver, but without obvious benefits for the emitter, thus making the evolutionary explanation</w:t>
      </w:r>
      <w:r>
        <w:rPr>
          <w:rFonts w:ascii="Times New Roman" w:hAnsi="Times New Roman"/>
          <w:kern w:val="0"/>
          <w:sz w:val="24"/>
          <w:szCs w:val="24"/>
        </w:rPr>
        <w:t xml:space="preserve"> of this phenomenon problematic</w:t>
      </w:r>
      <w:r w:rsidRPr="00985103">
        <w:rPr>
          <w:rFonts w:ascii="Times New Roman" w:hAnsi="Times New Roman"/>
          <w:kern w:val="0"/>
          <w:sz w:val="24"/>
          <w:szCs w:val="24"/>
        </w:rPr>
        <w:t>”</w:t>
      </w:r>
      <w:r>
        <w:rPr>
          <w:rFonts w:ascii="Times New Roman" w:hAnsi="Times New Roman"/>
          <w:kern w:val="0"/>
          <w:sz w:val="24"/>
          <w:szCs w:val="24"/>
        </w:rPr>
        <w:t xml:space="preserve"> (Heil and Karban, 2009: 137).</w:t>
      </w:r>
      <w:r w:rsidRPr="00985103">
        <w:rPr>
          <w:rFonts w:ascii="Times New Roman" w:hAnsi="Times New Roman"/>
          <w:kern w:val="0"/>
          <w:sz w:val="24"/>
          <w:szCs w:val="24"/>
        </w:rPr>
        <w:t xml:space="preserve"> What we seem to often have is a unidirectional inter- and intra-species and even intra-kingdom, signaling system. </w:t>
      </w:r>
      <w:r w:rsidRPr="00985103">
        <w:rPr>
          <w:rFonts w:ascii="Times New Roman" w:hAnsi="Times New Roman"/>
          <w:sz w:val="24"/>
          <w:szCs w:val="24"/>
        </w:rPr>
        <w:t>“Communication between plants can produce large effects in terms of induction of putative defensive chemicals as well as resistance to herbivores, although it is not clear at this time that either of the plant species tested benefit f</w:t>
      </w:r>
      <w:r>
        <w:rPr>
          <w:rFonts w:ascii="Times New Roman" w:hAnsi="Times New Roman"/>
          <w:sz w:val="24"/>
          <w:szCs w:val="24"/>
        </w:rPr>
        <w:t>rom this communication</w:t>
      </w:r>
      <w:r w:rsidRPr="00985103">
        <w:rPr>
          <w:rFonts w:ascii="Times New Roman" w:hAnsi="Times New Roman"/>
          <w:sz w:val="24"/>
          <w:szCs w:val="24"/>
        </w:rPr>
        <w:t>”</w:t>
      </w:r>
      <w:r>
        <w:rPr>
          <w:rFonts w:ascii="Times New Roman" w:hAnsi="Times New Roman"/>
          <w:sz w:val="24"/>
          <w:szCs w:val="24"/>
        </w:rPr>
        <w:t xml:space="preserve"> (Karban et al., 2000: 70).</w:t>
      </w:r>
      <w:r w:rsidRPr="00985103">
        <w:rPr>
          <w:rFonts w:ascii="Times New Roman" w:hAnsi="Times New Roman"/>
          <w:kern w:val="0"/>
          <w:sz w:val="24"/>
          <w:szCs w:val="24"/>
        </w:rPr>
        <w:t xml:space="preserve"> </w:t>
      </w:r>
      <w:r w:rsidRPr="00985103">
        <w:rPr>
          <w:rFonts w:ascii="Times New Roman" w:hAnsi="Times New Roman"/>
          <w:sz w:val="24"/>
          <w:szCs w:val="24"/>
        </w:rPr>
        <w:t>Recall the model case of the sagebrush and the tobacco. The tobacco experiences enhanced protection against a bug (herbivore) which does not even negatively affect the first plant, the sagebrush and was not the stress factor that precipitated the chemical emission by the sage</w:t>
      </w:r>
      <w:r>
        <w:rPr>
          <w:rFonts w:ascii="Times New Roman" w:hAnsi="Times New Roman"/>
          <w:sz w:val="24"/>
          <w:szCs w:val="24"/>
        </w:rPr>
        <w:t xml:space="preserve">brush. We see this also in </w:t>
      </w:r>
      <w:r w:rsidRPr="00985103">
        <w:rPr>
          <w:rFonts w:ascii="Times New Roman" w:hAnsi="Times New Roman"/>
          <w:sz w:val="24"/>
          <w:szCs w:val="24"/>
        </w:rPr>
        <w:t xml:space="preserve">plant-insect </w:t>
      </w:r>
      <w:r>
        <w:rPr>
          <w:rFonts w:ascii="Times New Roman" w:hAnsi="Times New Roman"/>
          <w:sz w:val="24"/>
          <w:szCs w:val="24"/>
        </w:rPr>
        <w:t xml:space="preserve">ostensible </w:t>
      </w:r>
      <w:r w:rsidRPr="00985103">
        <w:rPr>
          <w:rFonts w:ascii="Times New Roman" w:hAnsi="Times New Roman"/>
          <w:sz w:val="24"/>
          <w:szCs w:val="24"/>
        </w:rPr>
        <w:t xml:space="preserve">mutualisms: </w:t>
      </w:r>
      <w:r w:rsidRPr="00985103">
        <w:rPr>
          <w:rFonts w:ascii="Times New Roman" w:hAnsi="Times New Roman"/>
          <w:kern w:val="0"/>
          <w:sz w:val="24"/>
          <w:szCs w:val="24"/>
        </w:rPr>
        <w:t xml:space="preserve">“The purpose of this chemical communication from cotton plants to wasps is </w:t>
      </w:r>
      <w:r w:rsidRPr="00434D4C">
        <w:rPr>
          <w:rFonts w:ascii="Times New Roman" w:hAnsi="Times New Roman"/>
          <w:i/>
          <w:kern w:val="0"/>
          <w:sz w:val="24"/>
          <w:szCs w:val="24"/>
        </w:rPr>
        <w:t>presumed</w:t>
      </w:r>
      <w:r w:rsidRPr="00985103">
        <w:rPr>
          <w:rFonts w:ascii="Times New Roman" w:hAnsi="Times New Roman"/>
          <w:kern w:val="0"/>
          <w:sz w:val="24"/>
          <w:szCs w:val="24"/>
        </w:rPr>
        <w:t xml:space="preserve"> to be to allow the predatory wasp to more easily obtain the location of its preferred prey—one of two types of parasitic herbivor</w:t>
      </w:r>
      <w:r>
        <w:rPr>
          <w:rFonts w:ascii="Times New Roman" w:hAnsi="Times New Roman"/>
          <w:kern w:val="0"/>
          <w:sz w:val="24"/>
          <w:szCs w:val="24"/>
        </w:rPr>
        <w:t>es feeding on the cotton plants…[t]</w:t>
      </w:r>
      <w:r w:rsidRPr="00985103">
        <w:rPr>
          <w:rFonts w:ascii="Times New Roman" w:hAnsi="Times New Roman"/>
          <w:kern w:val="0"/>
          <w:sz w:val="24"/>
          <w:szCs w:val="24"/>
        </w:rPr>
        <w:t xml:space="preserve">he communication system studied here </w:t>
      </w:r>
      <w:r w:rsidRPr="00434D4C">
        <w:rPr>
          <w:rFonts w:ascii="Times New Roman" w:hAnsi="Times New Roman"/>
          <w:i/>
          <w:kern w:val="0"/>
          <w:sz w:val="24"/>
          <w:szCs w:val="24"/>
        </w:rPr>
        <w:t>could</w:t>
      </w:r>
      <w:r w:rsidRPr="00985103">
        <w:rPr>
          <w:rFonts w:ascii="Times New Roman" w:hAnsi="Times New Roman"/>
          <w:kern w:val="0"/>
          <w:sz w:val="24"/>
          <w:szCs w:val="24"/>
        </w:rPr>
        <w:t xml:space="preserve"> have evolved to save the wasp</w:t>
      </w:r>
      <w:r>
        <w:rPr>
          <w:rFonts w:ascii="Times New Roman" w:hAnsi="Times New Roman"/>
          <w:kern w:val="0"/>
          <w:sz w:val="24"/>
          <w:szCs w:val="24"/>
        </w:rPr>
        <w:t>’</w:t>
      </w:r>
      <w:r w:rsidRPr="00985103">
        <w:rPr>
          <w:rFonts w:ascii="Times New Roman" w:hAnsi="Times New Roman"/>
          <w:kern w:val="0"/>
          <w:sz w:val="24"/>
          <w:szCs w:val="24"/>
        </w:rPr>
        <w:t>s energy in finding the right plant to land on. However, the advantage to the cotton plant is less clear as the wasp does not destroy the herbivore immediately (using the herbivorous host for egg laying) so that the herbivores remain feeding on the cotton plant for some ti</w:t>
      </w:r>
      <w:r>
        <w:rPr>
          <w:rFonts w:ascii="Times New Roman" w:hAnsi="Times New Roman"/>
          <w:kern w:val="0"/>
          <w:sz w:val="24"/>
          <w:szCs w:val="24"/>
        </w:rPr>
        <w:t>me after the chemical signaling</w:t>
      </w:r>
      <w:r w:rsidRPr="00985103">
        <w:rPr>
          <w:rFonts w:ascii="Times New Roman" w:hAnsi="Times New Roman"/>
          <w:kern w:val="0"/>
          <w:sz w:val="24"/>
          <w:szCs w:val="24"/>
        </w:rPr>
        <w:t>”</w:t>
      </w:r>
      <w:r>
        <w:rPr>
          <w:rFonts w:ascii="Times New Roman" w:hAnsi="Times New Roman"/>
          <w:kern w:val="0"/>
          <w:sz w:val="24"/>
          <w:szCs w:val="24"/>
        </w:rPr>
        <w:t xml:space="preserve"> (Doyle 2009: 441). </w:t>
      </w:r>
      <w:r w:rsidRPr="00985103">
        <w:rPr>
          <w:rFonts w:ascii="Times New Roman" w:hAnsi="Times New Roman"/>
          <w:kern w:val="0"/>
          <w:sz w:val="24"/>
          <w:szCs w:val="24"/>
        </w:rPr>
        <w:t>These cases certainly</w:t>
      </w:r>
      <w:r>
        <w:rPr>
          <w:rFonts w:ascii="Times New Roman" w:hAnsi="Times New Roman"/>
          <w:kern w:val="0"/>
          <w:sz w:val="24"/>
          <w:szCs w:val="24"/>
        </w:rPr>
        <w:t xml:space="preserve"> loosen</w:t>
      </w:r>
      <w:r w:rsidRPr="00985103">
        <w:rPr>
          <w:rFonts w:ascii="Times New Roman" w:hAnsi="Times New Roman"/>
          <w:kern w:val="0"/>
          <w:sz w:val="24"/>
          <w:szCs w:val="24"/>
        </w:rPr>
        <w:t xml:space="preserve"> the grip of the beneficiary-functionalist premise of mutualism, at least if we restrict our </w:t>
      </w:r>
      <w:r>
        <w:rPr>
          <w:rFonts w:ascii="Times New Roman" w:hAnsi="Times New Roman"/>
          <w:kern w:val="0"/>
          <w:sz w:val="24"/>
          <w:szCs w:val="24"/>
        </w:rPr>
        <w:t>definition of “benefit”</w:t>
      </w:r>
      <w:r w:rsidRPr="00985103">
        <w:rPr>
          <w:rFonts w:ascii="Times New Roman" w:hAnsi="Times New Roman"/>
          <w:kern w:val="0"/>
          <w:sz w:val="24"/>
          <w:szCs w:val="24"/>
        </w:rPr>
        <w:t xml:space="preserve"> to reproductive purpose. </w:t>
      </w:r>
    </w:p>
    <w:p w:rsidR="002D463E" w:rsidRDefault="002D463E" w:rsidP="002D463E">
      <w:pPr>
        <w:pStyle w:val="InsideAddress"/>
        <w:spacing w:line="360" w:lineRule="auto"/>
        <w:rPr>
          <w:rFonts w:ascii="Times New Roman" w:hAnsi="Times New Roman"/>
          <w:sz w:val="24"/>
          <w:szCs w:val="24"/>
        </w:rPr>
      </w:pPr>
    </w:p>
    <w:p w:rsidR="002D463E" w:rsidRDefault="002D463E" w:rsidP="002D463E">
      <w:pPr>
        <w:autoSpaceDE w:val="0"/>
        <w:autoSpaceDN w:val="0"/>
        <w:adjustRightInd w:val="0"/>
        <w:rPr>
          <w:szCs w:val="24"/>
        </w:rPr>
      </w:pPr>
      <w:r>
        <w:rPr>
          <w:szCs w:val="24"/>
        </w:rPr>
        <w:t xml:space="preserve">Besides the empirical question, however, there are a few relevant conceptual questions to ask: </w:t>
      </w:r>
    </w:p>
    <w:p w:rsidR="002D463E" w:rsidRPr="001F09A3" w:rsidRDefault="002D463E" w:rsidP="002D463E">
      <w:pPr>
        <w:autoSpaceDE w:val="0"/>
        <w:autoSpaceDN w:val="0"/>
        <w:adjustRightInd w:val="0"/>
        <w:rPr>
          <w:szCs w:val="24"/>
        </w:rPr>
      </w:pPr>
    </w:p>
    <w:p w:rsidR="002D463E" w:rsidRDefault="002D463E" w:rsidP="002D463E">
      <w:pPr>
        <w:autoSpaceDE w:val="0"/>
        <w:autoSpaceDN w:val="0"/>
        <w:adjustRightInd w:val="0"/>
        <w:rPr>
          <w:szCs w:val="24"/>
        </w:rPr>
      </w:pPr>
      <w:r w:rsidRPr="001F09A3">
        <w:rPr>
          <w:szCs w:val="24"/>
        </w:rPr>
        <w:t xml:space="preserve">First, how </w:t>
      </w:r>
      <w:r w:rsidRPr="001F09A3">
        <w:rPr>
          <w:i/>
          <w:szCs w:val="24"/>
        </w:rPr>
        <w:t>do</w:t>
      </w:r>
      <w:r w:rsidRPr="001F09A3">
        <w:rPr>
          <w:szCs w:val="24"/>
        </w:rPr>
        <w:t xml:space="preserve"> we, or scientists, studying these so-called beneficial interactions, conceptualize, perceive and hence confirm, empirically, positive outcomes?  I</w:t>
      </w:r>
      <w:r w:rsidRPr="00985103">
        <w:rPr>
          <w:szCs w:val="24"/>
        </w:rPr>
        <w:t>n truth, a time-frame must be imposed before an “outcome” can be measure</w:t>
      </w:r>
      <w:r>
        <w:rPr>
          <w:szCs w:val="24"/>
        </w:rPr>
        <w:t>d</w:t>
      </w:r>
      <w:r w:rsidRPr="00985103">
        <w:rPr>
          <w:szCs w:val="24"/>
        </w:rPr>
        <w:t xml:space="preserve">. In field studies, the time-frame imposed maps onto the funding time-line a project has. </w:t>
      </w:r>
      <w:r>
        <w:rPr>
          <w:szCs w:val="24"/>
        </w:rPr>
        <w:t xml:space="preserve">It is entirely possible that </w:t>
      </w:r>
      <w:r w:rsidRPr="00985103">
        <w:rPr>
          <w:szCs w:val="24"/>
        </w:rPr>
        <w:t>after 4 years of counting tobacco plant seeds</w:t>
      </w:r>
      <w:r>
        <w:rPr>
          <w:szCs w:val="24"/>
        </w:rPr>
        <w:t xml:space="preserve"> in the neighborhood of sagebrush</w:t>
      </w:r>
      <w:r w:rsidRPr="00985103">
        <w:rPr>
          <w:szCs w:val="24"/>
        </w:rPr>
        <w:t xml:space="preserve">, </w:t>
      </w:r>
      <w:r>
        <w:rPr>
          <w:szCs w:val="24"/>
        </w:rPr>
        <w:t>and finding more in the fourth year than in the first year, we could publish an article giving evidence of</w:t>
      </w:r>
      <w:r w:rsidRPr="00985103">
        <w:rPr>
          <w:szCs w:val="24"/>
        </w:rPr>
        <w:t xml:space="preserve"> an increase in number, thus </w:t>
      </w:r>
      <w:r>
        <w:rPr>
          <w:szCs w:val="24"/>
        </w:rPr>
        <w:t>arguing a beneficial outcome for tobacco in terms of</w:t>
      </w:r>
      <w:r w:rsidRPr="00985103">
        <w:rPr>
          <w:szCs w:val="24"/>
        </w:rPr>
        <w:t xml:space="preserve"> reproductive capacity</w:t>
      </w:r>
      <w:r>
        <w:rPr>
          <w:szCs w:val="24"/>
        </w:rPr>
        <w:t xml:space="preserve"> by virtue of sage</w:t>
      </w:r>
      <w:r w:rsidRPr="00985103">
        <w:rPr>
          <w:szCs w:val="24"/>
        </w:rPr>
        <w:t>.  But</w:t>
      </w:r>
      <w:r>
        <w:rPr>
          <w:szCs w:val="24"/>
        </w:rPr>
        <w:t>,</w:t>
      </w:r>
      <w:r w:rsidRPr="00985103">
        <w:rPr>
          <w:szCs w:val="24"/>
        </w:rPr>
        <w:t xml:space="preserve"> if we looked for longer, maybe we wouldn’t be able to </w:t>
      </w:r>
      <w:r>
        <w:rPr>
          <w:szCs w:val="24"/>
        </w:rPr>
        <w:t>give a linear, feel-good story about outcomes.</w:t>
      </w:r>
      <w:r w:rsidRPr="00985103">
        <w:rPr>
          <w:szCs w:val="24"/>
        </w:rPr>
        <w:t xml:space="preserve"> </w:t>
      </w:r>
      <w:r>
        <w:rPr>
          <w:szCs w:val="24"/>
        </w:rPr>
        <w:t>This is true for many phenomena. F</w:t>
      </w:r>
      <w:r w:rsidRPr="001F09A3">
        <w:rPr>
          <w:szCs w:val="24"/>
        </w:rPr>
        <w:t xml:space="preserve">lood control embankments </w:t>
      </w:r>
      <w:r>
        <w:rPr>
          <w:szCs w:val="24"/>
        </w:rPr>
        <w:t xml:space="preserve">in </w:t>
      </w:r>
      <w:smartTag w:uri="urn:schemas-microsoft-com:office:smarttags" w:element="country-region">
        <w:smartTag w:uri="urn:schemas-microsoft-com:office:smarttags" w:element="place">
          <w:r>
            <w:rPr>
              <w:szCs w:val="24"/>
            </w:rPr>
            <w:t>Bangladesh</w:t>
          </w:r>
        </w:smartTag>
      </w:smartTag>
      <w:r>
        <w:rPr>
          <w:szCs w:val="24"/>
        </w:rPr>
        <w:t xml:space="preserve"> </w:t>
      </w:r>
      <w:r w:rsidRPr="001F09A3">
        <w:rPr>
          <w:szCs w:val="24"/>
        </w:rPr>
        <w:t>created h</w:t>
      </w:r>
      <w:r>
        <w:rPr>
          <w:szCs w:val="24"/>
        </w:rPr>
        <w:t xml:space="preserve">abitats for the flies that carried </w:t>
      </w:r>
      <w:r w:rsidRPr="00727625">
        <w:rPr>
          <w:i/>
          <w:szCs w:val="24"/>
        </w:rPr>
        <w:t>leishmaniasis</w:t>
      </w:r>
      <w:r>
        <w:rPr>
          <w:szCs w:val="24"/>
        </w:rPr>
        <w:t xml:space="preserve"> (Minkin et al., 1996). Adjusting industrial practices to make meat protein affordable and widely available (poultry or beef) improved nutrition. But, the conditions of industrial agriculture made those very sites epicenters for zoonotic diseases including S.A.R.S. pandemic of 2002 and “Mad cow” disease (Waltner-Toews, 1999; 2007). </w:t>
      </w:r>
      <w:r w:rsidRPr="00985103">
        <w:rPr>
          <w:szCs w:val="24"/>
        </w:rPr>
        <w:t xml:space="preserve">Looking </w:t>
      </w:r>
      <w:r>
        <w:rPr>
          <w:szCs w:val="24"/>
        </w:rPr>
        <w:t xml:space="preserve">episodically </w:t>
      </w:r>
      <w:r w:rsidRPr="00985103">
        <w:rPr>
          <w:szCs w:val="24"/>
        </w:rPr>
        <w:t>at a time-slice experiment</w:t>
      </w:r>
      <w:r>
        <w:rPr>
          <w:szCs w:val="24"/>
        </w:rPr>
        <w:t>al situation</w:t>
      </w:r>
      <w:r w:rsidRPr="00985103">
        <w:rPr>
          <w:szCs w:val="24"/>
        </w:rPr>
        <w:t xml:space="preserve"> we do seem to see tobacco plants’ resistance to grasshoppers and cutworms improved, </w:t>
      </w:r>
      <w:r>
        <w:rPr>
          <w:szCs w:val="24"/>
        </w:rPr>
        <w:t xml:space="preserve">quite </w:t>
      </w:r>
      <w:r w:rsidRPr="00985103">
        <w:rPr>
          <w:szCs w:val="24"/>
        </w:rPr>
        <w:t xml:space="preserve">possibly by virtue of its friendly neighbor, the sagebrush. But, </w:t>
      </w:r>
    </w:p>
    <w:p w:rsidR="002D463E" w:rsidRDefault="002D463E" w:rsidP="002D463E">
      <w:pPr>
        <w:autoSpaceDE w:val="0"/>
        <w:autoSpaceDN w:val="0"/>
        <w:adjustRightInd w:val="0"/>
        <w:ind w:left="720"/>
        <w:rPr>
          <w:szCs w:val="24"/>
        </w:rPr>
      </w:pPr>
      <w:r w:rsidRPr="00985103">
        <w:rPr>
          <w:szCs w:val="24"/>
        </w:rPr>
        <w:t>“[o]ver five years of experiments, tobacco plants next to damaged sagebrush produced more flowers and seed-bearing capsules but were also more susceptible to frost damage compared with controls. However, there was a negative correlation between tobacco capsule production and distance from sagebrush indicating that sagebrush has an overall detrimental effect on the fitness of tobacco pla</w:t>
      </w:r>
      <w:r>
        <w:rPr>
          <w:szCs w:val="24"/>
        </w:rPr>
        <w:t>nts” (Dicke et al. 2003: 403).</w:t>
      </w:r>
    </w:p>
    <w:p w:rsidR="002D463E" w:rsidRPr="00985103" w:rsidRDefault="002D463E" w:rsidP="002D463E">
      <w:pPr>
        <w:pStyle w:val="InsideAddress"/>
        <w:spacing w:line="360" w:lineRule="auto"/>
        <w:rPr>
          <w:rFonts w:ascii="Times New Roman" w:hAnsi="Times New Roman"/>
          <w:sz w:val="24"/>
          <w:szCs w:val="24"/>
        </w:rPr>
      </w:pPr>
    </w:p>
    <w:p w:rsidR="002D463E" w:rsidRPr="009911A4" w:rsidRDefault="002D463E" w:rsidP="002D463E">
      <w:pPr>
        <w:pStyle w:val="InsideAddress"/>
        <w:spacing w:line="360" w:lineRule="auto"/>
        <w:rPr>
          <w:rFonts w:ascii="Times New Roman" w:hAnsi="Times New Roman"/>
          <w:sz w:val="24"/>
          <w:szCs w:val="24"/>
        </w:rPr>
      </w:pPr>
      <w:r w:rsidRPr="009911A4">
        <w:rPr>
          <w:rFonts w:ascii="Times New Roman" w:hAnsi="Times New Roman"/>
          <w:sz w:val="24"/>
          <w:szCs w:val="24"/>
        </w:rPr>
        <w:t>Second, how do</w:t>
      </w:r>
      <w:r w:rsidRPr="009911A4">
        <w:rPr>
          <w:rFonts w:ascii="Times New Roman" w:hAnsi="Times New Roman"/>
          <w:kern w:val="0"/>
          <w:sz w:val="24"/>
          <w:szCs w:val="24"/>
        </w:rPr>
        <w:t xml:space="preserve"> we, or </w:t>
      </w:r>
      <w:r>
        <w:rPr>
          <w:rFonts w:ascii="Times New Roman" w:hAnsi="Times New Roman"/>
          <w:kern w:val="0"/>
          <w:sz w:val="24"/>
          <w:szCs w:val="24"/>
        </w:rPr>
        <w:t>the scientists</w:t>
      </w:r>
      <w:r w:rsidRPr="009911A4">
        <w:rPr>
          <w:rFonts w:ascii="Times New Roman" w:hAnsi="Times New Roman"/>
          <w:kern w:val="0"/>
          <w:sz w:val="24"/>
          <w:szCs w:val="24"/>
        </w:rPr>
        <w:t xml:space="preserve"> studying “plant communication</w:t>
      </w:r>
      <w:r>
        <w:rPr>
          <w:rFonts w:ascii="Times New Roman" w:hAnsi="Times New Roman"/>
          <w:kern w:val="0"/>
          <w:sz w:val="24"/>
          <w:szCs w:val="24"/>
        </w:rPr>
        <w:t>,</w:t>
      </w:r>
      <w:r w:rsidRPr="009911A4">
        <w:rPr>
          <w:rFonts w:ascii="Times New Roman" w:hAnsi="Times New Roman"/>
          <w:kern w:val="0"/>
          <w:sz w:val="24"/>
          <w:szCs w:val="24"/>
        </w:rPr>
        <w:t xml:space="preserve">” conceive of the value of communication in general place such that we can locate its beneficiaries and its social site? </w:t>
      </w:r>
      <w:r w:rsidRPr="009911A4">
        <w:rPr>
          <w:rFonts w:ascii="Times New Roman" w:hAnsi="Times New Roman"/>
          <w:sz w:val="24"/>
          <w:szCs w:val="24"/>
        </w:rPr>
        <w:t>It’s relevant for us to take note that a certain conceptual gesture is pervasive in the scientific literature:</w:t>
      </w:r>
      <w:r w:rsidRPr="009911A4">
        <w:rPr>
          <w:rFonts w:ascii="Times New Roman" w:hAnsi="Times New Roman"/>
          <w:i/>
          <w:sz w:val="24"/>
          <w:szCs w:val="24"/>
        </w:rPr>
        <w:t xml:space="preserve"> if</w:t>
      </w:r>
      <w:r w:rsidRPr="009911A4">
        <w:rPr>
          <w:rFonts w:ascii="Times New Roman" w:hAnsi="Times New Roman"/>
          <w:sz w:val="24"/>
          <w:szCs w:val="24"/>
        </w:rPr>
        <w:t xml:space="preserve"> the benefits to the emitter and receiver are not equal and not mutual, the description of the plant behaviour is downgraded from “communication” to “eavesdropping”</w:t>
      </w:r>
      <w:r w:rsidRPr="009911A4">
        <w:rPr>
          <w:rFonts w:ascii="Times New Roman" w:hAnsi="Times New Roman"/>
          <w:kern w:val="0"/>
          <w:sz w:val="24"/>
          <w:szCs w:val="24"/>
        </w:rPr>
        <w:t xml:space="preserve"> (</w:t>
      </w:r>
      <w:smartTag w:uri="urn:schemas-microsoft-com:office:smarttags" w:element="place">
        <w:r w:rsidRPr="009911A4">
          <w:rPr>
            <w:rFonts w:ascii="Times New Roman" w:hAnsi="Times New Roman"/>
            <w:kern w:val="0"/>
            <w:sz w:val="24"/>
            <w:szCs w:val="24"/>
          </w:rPr>
          <w:t>Preston</w:t>
        </w:r>
      </w:smartTag>
      <w:r>
        <w:rPr>
          <w:rFonts w:ascii="Times New Roman" w:hAnsi="Times New Roman"/>
          <w:kern w:val="0"/>
          <w:sz w:val="24"/>
          <w:szCs w:val="24"/>
        </w:rPr>
        <w:t>,</w:t>
      </w:r>
      <w:r w:rsidRPr="009911A4">
        <w:rPr>
          <w:rFonts w:ascii="Times New Roman" w:hAnsi="Times New Roman"/>
          <w:kern w:val="0"/>
          <w:sz w:val="24"/>
          <w:szCs w:val="24"/>
        </w:rPr>
        <w:t xml:space="preserve"> 2004:</w:t>
      </w:r>
      <w:r>
        <w:rPr>
          <w:rFonts w:ascii="Times New Roman" w:hAnsi="Times New Roman"/>
          <w:kern w:val="0"/>
          <w:sz w:val="24"/>
          <w:szCs w:val="24"/>
        </w:rPr>
        <w:t xml:space="preserve"> </w:t>
      </w:r>
      <w:r w:rsidRPr="009911A4">
        <w:rPr>
          <w:rFonts w:ascii="Times New Roman" w:hAnsi="Times New Roman"/>
          <w:kern w:val="0"/>
          <w:sz w:val="24"/>
          <w:szCs w:val="24"/>
        </w:rPr>
        <w:t>912)</w:t>
      </w:r>
      <w:r w:rsidRPr="009911A4">
        <w:rPr>
          <w:rFonts w:ascii="Times New Roman" w:hAnsi="Times New Roman"/>
          <w:sz w:val="24"/>
          <w:szCs w:val="24"/>
        </w:rPr>
        <w:t>. If the signal flows to a third party this third party is called a “cheater</w:t>
      </w:r>
      <w:r>
        <w:rPr>
          <w:rFonts w:ascii="Times New Roman" w:hAnsi="Times New Roman"/>
          <w:sz w:val="24"/>
          <w:szCs w:val="24"/>
        </w:rPr>
        <w:t>.”</w:t>
      </w:r>
      <w:r w:rsidRPr="009911A4">
        <w:rPr>
          <w:rFonts w:ascii="Times New Roman" w:hAnsi="Times New Roman"/>
          <w:sz w:val="24"/>
          <w:szCs w:val="24"/>
        </w:rPr>
        <w:t xml:space="preserve"> We hear this worry: “</w:t>
      </w:r>
      <w:r>
        <w:rPr>
          <w:rFonts w:ascii="Times New Roman" w:hAnsi="Times New Roman"/>
          <w:color w:val="000000"/>
          <w:kern w:val="0"/>
          <w:sz w:val="24"/>
          <w:szCs w:val="24"/>
        </w:rPr>
        <w:t>Is the signal always ‘honest’…or can ‘cheating</w:t>
      </w:r>
      <w:r w:rsidRPr="009911A4">
        <w:rPr>
          <w:rFonts w:ascii="Times New Roman" w:hAnsi="Times New Roman"/>
          <w:color w:val="000000"/>
          <w:kern w:val="0"/>
          <w:sz w:val="24"/>
          <w:szCs w:val="24"/>
        </w:rPr>
        <w:t xml:space="preserve">’ occur? </w:t>
      </w:r>
      <w:r w:rsidRPr="009911A4">
        <w:rPr>
          <w:rFonts w:ascii="Times New Roman" w:hAnsi="Times New Roman"/>
          <w:kern w:val="0"/>
          <w:sz w:val="24"/>
          <w:szCs w:val="24"/>
        </w:rPr>
        <w:t>Do species other than the two mutualists use this information exchange to exploit resources?”</w:t>
      </w:r>
      <w:r>
        <w:rPr>
          <w:rFonts w:ascii="Times New Roman" w:hAnsi="Times New Roman"/>
          <w:kern w:val="0"/>
          <w:sz w:val="24"/>
          <w:szCs w:val="24"/>
        </w:rPr>
        <w:t xml:space="preserve"> (Krebs and Davis, as cited</w:t>
      </w:r>
      <w:r w:rsidRPr="009911A4">
        <w:rPr>
          <w:rFonts w:ascii="Times New Roman" w:hAnsi="Times New Roman"/>
          <w:kern w:val="0"/>
          <w:sz w:val="24"/>
          <w:szCs w:val="24"/>
        </w:rPr>
        <w:t xml:space="preserve"> in Hossaert-McKey et al.</w:t>
      </w:r>
      <w:r>
        <w:rPr>
          <w:rFonts w:ascii="Times New Roman" w:hAnsi="Times New Roman"/>
          <w:kern w:val="0"/>
          <w:sz w:val="24"/>
          <w:szCs w:val="24"/>
        </w:rPr>
        <w:t xml:space="preserve">, </w:t>
      </w:r>
      <w:r w:rsidRPr="009911A4">
        <w:rPr>
          <w:rFonts w:ascii="Times New Roman" w:hAnsi="Times New Roman"/>
          <w:kern w:val="0"/>
          <w:sz w:val="24"/>
          <w:szCs w:val="24"/>
        </w:rPr>
        <w:t xml:space="preserve">2010: 76). </w:t>
      </w:r>
      <w:r w:rsidRPr="009911A4">
        <w:rPr>
          <w:rFonts w:ascii="Times New Roman" w:hAnsi="Times New Roman"/>
          <w:sz w:val="24"/>
          <w:szCs w:val="24"/>
        </w:rPr>
        <w:t xml:space="preserve">These are the terms most commonly found: </w:t>
      </w:r>
      <w:r w:rsidRPr="009911A4">
        <w:rPr>
          <w:rFonts w:ascii="Times New Roman" w:hAnsi="Times New Roman"/>
          <w:i/>
          <w:sz w:val="24"/>
          <w:szCs w:val="24"/>
        </w:rPr>
        <w:t>eavesdropper, cheater, exploiter</w:t>
      </w:r>
      <w:r w:rsidRPr="009911A4">
        <w:rPr>
          <w:rFonts w:ascii="Times New Roman" w:hAnsi="Times New Roman"/>
          <w:sz w:val="24"/>
          <w:szCs w:val="24"/>
        </w:rPr>
        <w:t xml:space="preserve">. These are all perjoratives. What does this linguistic usage reveal? Among other things, it suggests that, by definition, </w:t>
      </w:r>
      <w:r w:rsidRPr="009911A4">
        <w:rPr>
          <w:rFonts w:ascii="Times New Roman" w:hAnsi="Times New Roman"/>
          <w:i/>
          <w:sz w:val="24"/>
          <w:szCs w:val="24"/>
        </w:rPr>
        <w:t>communication</w:t>
      </w:r>
      <w:r w:rsidRPr="009911A4">
        <w:rPr>
          <w:rFonts w:ascii="Times New Roman" w:hAnsi="Times New Roman"/>
          <w:sz w:val="24"/>
          <w:szCs w:val="24"/>
        </w:rPr>
        <w:t xml:space="preserve"> must always flow two-ways, and privately, between strictly identified and identifiable, worthy </w:t>
      </w:r>
      <w:r w:rsidRPr="009911A4">
        <w:rPr>
          <w:rFonts w:ascii="Times New Roman" w:hAnsi="Times New Roman"/>
          <w:i/>
          <w:sz w:val="24"/>
          <w:szCs w:val="24"/>
        </w:rPr>
        <w:t>owners</w:t>
      </w:r>
      <w:r>
        <w:rPr>
          <w:rFonts w:ascii="Times New Roman" w:hAnsi="Times New Roman"/>
          <w:sz w:val="24"/>
          <w:szCs w:val="24"/>
        </w:rPr>
        <w:t>—</w:t>
      </w:r>
      <w:r w:rsidRPr="009911A4">
        <w:rPr>
          <w:rFonts w:ascii="Times New Roman" w:hAnsi="Times New Roman"/>
          <w:sz w:val="24"/>
          <w:szCs w:val="24"/>
        </w:rPr>
        <w:t>t</w:t>
      </w:r>
      <w:r>
        <w:rPr>
          <w:rFonts w:ascii="Times New Roman" w:hAnsi="Times New Roman"/>
          <w:sz w:val="24"/>
          <w:szCs w:val="24"/>
        </w:rPr>
        <w:t>he beings—</w:t>
      </w:r>
      <w:r w:rsidRPr="009911A4">
        <w:rPr>
          <w:rFonts w:ascii="Times New Roman" w:hAnsi="Times New Roman"/>
          <w:sz w:val="24"/>
          <w:szCs w:val="24"/>
        </w:rPr>
        <w:t>of that dialogical</w:t>
      </w:r>
      <w:r>
        <w:rPr>
          <w:rFonts w:ascii="Times New Roman" w:hAnsi="Times New Roman"/>
          <w:sz w:val="24"/>
          <w:szCs w:val="24"/>
        </w:rPr>
        <w:t>, reciprocal, symmetrical</w:t>
      </w:r>
      <w:r w:rsidRPr="009911A4">
        <w:rPr>
          <w:rFonts w:ascii="Times New Roman" w:hAnsi="Times New Roman"/>
          <w:sz w:val="24"/>
          <w:szCs w:val="24"/>
        </w:rPr>
        <w:t xml:space="preserve"> transaction: anything other than that is </w:t>
      </w:r>
      <w:r w:rsidRPr="009911A4">
        <w:rPr>
          <w:rFonts w:ascii="Times New Roman" w:hAnsi="Times New Roman"/>
          <w:i/>
          <w:sz w:val="24"/>
          <w:szCs w:val="24"/>
        </w:rPr>
        <w:t>illegitimate, theft, freeloading, perversion, failure</w:t>
      </w:r>
      <w:r w:rsidRPr="009911A4">
        <w:rPr>
          <w:rFonts w:ascii="Times New Roman" w:hAnsi="Times New Roman"/>
          <w:sz w:val="24"/>
          <w:szCs w:val="24"/>
        </w:rPr>
        <w:t xml:space="preserve">. We </w:t>
      </w:r>
      <w:r w:rsidRPr="009911A4">
        <w:rPr>
          <w:rFonts w:ascii="Times New Roman" w:hAnsi="Times New Roman"/>
          <w:i/>
          <w:sz w:val="24"/>
          <w:szCs w:val="24"/>
        </w:rPr>
        <w:t>could</w:t>
      </w:r>
      <w:r w:rsidRPr="009911A4">
        <w:rPr>
          <w:rFonts w:ascii="Times New Roman" w:hAnsi="Times New Roman"/>
          <w:sz w:val="24"/>
          <w:szCs w:val="24"/>
        </w:rPr>
        <w:t xml:space="preserve"> choose other terms for the indirect, unintended elliptical givings and receivings that seem to happen. An alternative to an “illicit escapee” framing would</w:t>
      </w:r>
      <w:r>
        <w:rPr>
          <w:rFonts w:ascii="Times New Roman" w:hAnsi="Times New Roman"/>
          <w:sz w:val="24"/>
          <w:szCs w:val="24"/>
        </w:rPr>
        <w:t xml:space="preserve"> be </w:t>
      </w:r>
      <w:r w:rsidRPr="009911A4">
        <w:rPr>
          <w:rFonts w:ascii="Times New Roman" w:hAnsi="Times New Roman"/>
          <w:sz w:val="24"/>
          <w:szCs w:val="24"/>
        </w:rPr>
        <w:t>to frame these through a narrative of the actions of generosity and gift; to draw from a conceptual terrain wherein the spontaneous, non-meritocratic reception of an uncontainable excess</w:t>
      </w:r>
      <w:r>
        <w:rPr>
          <w:rFonts w:ascii="Times New Roman" w:hAnsi="Times New Roman"/>
          <w:sz w:val="24"/>
          <w:szCs w:val="24"/>
        </w:rPr>
        <w:t>—</w:t>
      </w:r>
      <w:r w:rsidRPr="009911A4">
        <w:rPr>
          <w:rFonts w:ascii="Times New Roman" w:hAnsi="Times New Roman"/>
          <w:sz w:val="24"/>
          <w:szCs w:val="24"/>
        </w:rPr>
        <w:t>whether protective VOC signals, a smiling flash of recogn</w:t>
      </w:r>
      <w:r>
        <w:rPr>
          <w:rFonts w:ascii="Times New Roman" w:hAnsi="Times New Roman"/>
          <w:sz w:val="24"/>
          <w:szCs w:val="24"/>
        </w:rPr>
        <w:t>ition, or a blood transfusion—</w:t>
      </w:r>
      <w:r w:rsidRPr="009911A4">
        <w:rPr>
          <w:rFonts w:ascii="Times New Roman" w:hAnsi="Times New Roman"/>
          <w:sz w:val="24"/>
          <w:szCs w:val="24"/>
        </w:rPr>
        <w:t xml:space="preserve">by an unspecified and uncountable other or others, from an unidentified non-proximate other or others, </w:t>
      </w:r>
      <w:r w:rsidRPr="009911A4">
        <w:rPr>
          <w:rFonts w:ascii="Times New Roman" w:hAnsi="Times New Roman"/>
          <w:i/>
          <w:sz w:val="24"/>
          <w:szCs w:val="24"/>
        </w:rPr>
        <w:t>as the epitome</w:t>
      </w:r>
      <w:r w:rsidRPr="009911A4">
        <w:rPr>
          <w:rFonts w:ascii="Times New Roman" w:hAnsi="Times New Roman"/>
          <w:sz w:val="24"/>
          <w:szCs w:val="24"/>
        </w:rPr>
        <w:t xml:space="preserve"> of the Good. In fact, under a Derridean or a Levinasian conception of the ethical, these are the </w:t>
      </w:r>
      <w:r w:rsidRPr="009911A4">
        <w:rPr>
          <w:rFonts w:ascii="Times New Roman" w:hAnsi="Times New Roman"/>
          <w:i/>
          <w:sz w:val="24"/>
          <w:szCs w:val="24"/>
        </w:rPr>
        <w:t>very kinds of relations</w:t>
      </w:r>
      <w:r w:rsidRPr="009911A4">
        <w:rPr>
          <w:rFonts w:ascii="Times New Roman" w:hAnsi="Times New Roman"/>
          <w:sz w:val="24"/>
          <w:szCs w:val="24"/>
        </w:rPr>
        <w:t xml:space="preserve"> which can, and do, testify to the fundamental fact of goodness, and are the well-spring of any ethical authentic imperative. Derri</w:t>
      </w:r>
      <w:r>
        <w:rPr>
          <w:rFonts w:ascii="Times New Roman" w:hAnsi="Times New Roman"/>
          <w:sz w:val="24"/>
          <w:szCs w:val="24"/>
        </w:rPr>
        <w:t>da writes: The “imperative” or ‘law’</w:t>
      </w:r>
      <w:r w:rsidRPr="009911A4">
        <w:rPr>
          <w:rFonts w:ascii="Times New Roman" w:hAnsi="Times New Roman"/>
          <w:sz w:val="24"/>
          <w:szCs w:val="24"/>
        </w:rPr>
        <w:t>…may be a necessity that escapes the habitual regime of necessity…necessar</w:t>
      </w:r>
      <w:r>
        <w:rPr>
          <w:rFonts w:ascii="Times New Roman" w:hAnsi="Times New Roman"/>
          <w:sz w:val="24"/>
          <w:szCs w:val="24"/>
        </w:rPr>
        <w:t xml:space="preserve">ily understood as natural law…” </w:t>
      </w:r>
      <w:r w:rsidRPr="009911A4">
        <w:rPr>
          <w:rFonts w:ascii="Times New Roman" w:hAnsi="Times New Roman"/>
          <w:sz w:val="24"/>
          <w:szCs w:val="24"/>
        </w:rPr>
        <w:t>(2001:</w:t>
      </w:r>
      <w:r>
        <w:rPr>
          <w:rFonts w:ascii="Times New Roman" w:hAnsi="Times New Roman"/>
          <w:sz w:val="24"/>
          <w:szCs w:val="24"/>
        </w:rPr>
        <w:t xml:space="preserve"> </w:t>
      </w:r>
      <w:r w:rsidRPr="009911A4">
        <w:rPr>
          <w:rFonts w:ascii="Times New Roman" w:hAnsi="Times New Roman"/>
          <w:sz w:val="24"/>
          <w:szCs w:val="24"/>
        </w:rPr>
        <w:t>110). Levinas’ entire oeuvre is devoted to distinguishing ethics, which he conceives as action, a becoming, something undergone or received from without, from ontology, or the science of Being. He says, “Ethics does not have an essence…</w:t>
      </w:r>
      <w:r>
        <w:rPr>
          <w:rFonts w:ascii="Times New Roman" w:hAnsi="Times New Roman"/>
          <w:sz w:val="24"/>
          <w:szCs w:val="24"/>
        </w:rPr>
        <w:t>its ‘identity’ is to undo identities. Its ‘being’</w:t>
      </w:r>
      <w:r w:rsidRPr="009911A4">
        <w:rPr>
          <w:rFonts w:ascii="Times New Roman" w:hAnsi="Times New Roman"/>
          <w:sz w:val="24"/>
          <w:szCs w:val="24"/>
        </w:rPr>
        <w:t xml:space="preserve"> is not to be but to be </w:t>
      </w:r>
      <w:r w:rsidRPr="009911A4">
        <w:rPr>
          <w:rFonts w:ascii="Times New Roman" w:hAnsi="Times New Roman"/>
          <w:i/>
          <w:sz w:val="24"/>
          <w:szCs w:val="24"/>
        </w:rPr>
        <w:t xml:space="preserve">better than being. </w:t>
      </w:r>
      <w:r w:rsidRPr="009911A4">
        <w:rPr>
          <w:rFonts w:ascii="Times New Roman" w:hAnsi="Times New Roman"/>
          <w:sz w:val="24"/>
          <w:szCs w:val="24"/>
        </w:rPr>
        <w:t xml:space="preserve">Ethics occurs as the compassion of being…The surplus of the Other…is the way ethics intrudes, disturbs, commands…Neither my consciousness nor my instincts are sufficient to the excessive demand the other places on me…yet…[this] relation is like no other…but signifies all the surplus or all the goodness of </w:t>
      </w:r>
      <w:r w:rsidRPr="009911A4">
        <w:rPr>
          <w:rFonts w:ascii="Times New Roman" w:hAnsi="Times New Roman"/>
          <w:i/>
          <w:sz w:val="24"/>
          <w:szCs w:val="24"/>
        </w:rPr>
        <w:t>original socialit</w:t>
      </w:r>
      <w:r>
        <w:rPr>
          <w:rFonts w:ascii="Times New Roman" w:hAnsi="Times New Roman"/>
          <w:i/>
          <w:sz w:val="24"/>
          <w:szCs w:val="24"/>
        </w:rPr>
        <w:t xml:space="preserve">y” </w:t>
      </w:r>
      <w:r w:rsidRPr="009911A4">
        <w:rPr>
          <w:rFonts w:ascii="Times New Roman" w:hAnsi="Times New Roman"/>
          <w:sz w:val="24"/>
          <w:szCs w:val="24"/>
        </w:rPr>
        <w:t>(Levinas, 1985</w:t>
      </w:r>
      <w:r>
        <w:rPr>
          <w:rFonts w:ascii="Times New Roman" w:hAnsi="Times New Roman"/>
          <w:sz w:val="24"/>
          <w:szCs w:val="24"/>
        </w:rPr>
        <w:t>: 10-11, added</w:t>
      </w:r>
      <w:r w:rsidRPr="009911A4">
        <w:rPr>
          <w:rFonts w:ascii="Times New Roman" w:hAnsi="Times New Roman"/>
          <w:sz w:val="24"/>
          <w:szCs w:val="24"/>
        </w:rPr>
        <w:t xml:space="preserve"> emphasis)</w:t>
      </w:r>
      <w:r>
        <w:rPr>
          <w:rFonts w:ascii="Times New Roman" w:hAnsi="Times New Roman"/>
          <w:sz w:val="24"/>
          <w:szCs w:val="24"/>
        </w:rPr>
        <w:t xml:space="preserve">. What I am signaling here is that the </w:t>
      </w:r>
      <w:r>
        <w:rPr>
          <w:rFonts w:ascii="Times New Roman" w:hAnsi="Times New Roman"/>
          <w:i/>
          <w:sz w:val="24"/>
          <w:szCs w:val="24"/>
        </w:rPr>
        <w:t>original sociality</w:t>
      </w:r>
      <w:r>
        <w:rPr>
          <w:rFonts w:ascii="Times New Roman" w:hAnsi="Times New Roman"/>
          <w:sz w:val="24"/>
          <w:szCs w:val="24"/>
        </w:rPr>
        <w:t xml:space="preserve"> of which Levinas speaks means any and all relations in which </w:t>
      </w:r>
      <w:r w:rsidRPr="009911A4">
        <w:rPr>
          <w:rFonts w:ascii="Times New Roman" w:hAnsi="Times New Roman"/>
          <w:i/>
          <w:sz w:val="24"/>
          <w:szCs w:val="24"/>
        </w:rPr>
        <w:t>responsiveness</w:t>
      </w:r>
      <w:r>
        <w:rPr>
          <w:rFonts w:ascii="Times New Roman" w:hAnsi="Times New Roman"/>
          <w:sz w:val="24"/>
          <w:szCs w:val="24"/>
        </w:rPr>
        <w:t xml:space="preserve"> can and does occur.</w:t>
      </w:r>
      <w:r w:rsidRPr="009911A4">
        <w:rPr>
          <w:rFonts w:ascii="Times New Roman" w:hAnsi="Times New Roman"/>
          <w:sz w:val="24"/>
          <w:szCs w:val="24"/>
        </w:rPr>
        <w:t xml:space="preserve"> </w:t>
      </w:r>
    </w:p>
    <w:p w:rsidR="002D463E" w:rsidRPr="009911A4" w:rsidRDefault="002D463E" w:rsidP="002D463E">
      <w:pPr>
        <w:pStyle w:val="InsideAddress"/>
        <w:spacing w:line="360" w:lineRule="auto"/>
        <w:rPr>
          <w:rFonts w:ascii="Times New Roman" w:hAnsi="Times New Roman"/>
          <w:i/>
          <w:sz w:val="24"/>
          <w:szCs w:val="24"/>
        </w:rPr>
      </w:pPr>
    </w:p>
    <w:p w:rsidR="002D463E" w:rsidRPr="002B69A1" w:rsidRDefault="002D463E" w:rsidP="00E35253">
      <w:pPr>
        <w:pStyle w:val="Heading3"/>
      </w:pPr>
      <w:r w:rsidRPr="002B69A1">
        <w:t xml:space="preserve">Conclusion: Becoming-plant? Or are you too attached to yourself? </w:t>
      </w:r>
    </w:p>
    <w:p w:rsidR="002D463E" w:rsidRPr="00985103" w:rsidRDefault="002D463E" w:rsidP="002D463E">
      <w:pPr>
        <w:pStyle w:val="InsideAddress"/>
        <w:spacing w:line="360" w:lineRule="auto"/>
        <w:rPr>
          <w:rFonts w:ascii="Times New Roman" w:hAnsi="Times New Roman"/>
          <w:i/>
          <w:sz w:val="24"/>
          <w:szCs w:val="24"/>
        </w:rPr>
      </w:pPr>
    </w:p>
    <w:p w:rsidR="002D463E" w:rsidRPr="00985103" w:rsidRDefault="002D463E" w:rsidP="002D463E">
      <w:pPr>
        <w:autoSpaceDE w:val="0"/>
        <w:autoSpaceDN w:val="0"/>
        <w:adjustRightInd w:val="0"/>
        <w:rPr>
          <w:szCs w:val="24"/>
        </w:rPr>
      </w:pPr>
      <w:r w:rsidRPr="00985103">
        <w:rPr>
          <w:szCs w:val="24"/>
        </w:rPr>
        <w:t>Let</w:t>
      </w:r>
      <w:r>
        <w:rPr>
          <w:szCs w:val="24"/>
        </w:rPr>
        <w:t xml:space="preserve"> u</w:t>
      </w:r>
      <w:r w:rsidRPr="00985103">
        <w:rPr>
          <w:szCs w:val="24"/>
        </w:rPr>
        <w:t xml:space="preserve">s assemble our lacks: a lack of evidence confirming that </w:t>
      </w:r>
      <w:r>
        <w:rPr>
          <w:szCs w:val="24"/>
        </w:rPr>
        <w:t>improved fitness is the “point”</w:t>
      </w:r>
      <w:r w:rsidRPr="00985103">
        <w:rPr>
          <w:szCs w:val="24"/>
        </w:rPr>
        <w:t xml:space="preserve"> of communication; an inability to confirm </w:t>
      </w:r>
      <w:r>
        <w:rPr>
          <w:szCs w:val="24"/>
        </w:rPr>
        <w:t xml:space="preserve">once and for all that </w:t>
      </w:r>
      <w:r w:rsidRPr="00985103">
        <w:rPr>
          <w:szCs w:val="24"/>
        </w:rPr>
        <w:t>growth or reproductive functions are served by communication, or at least the growth and reproduction of individual beings or types</w:t>
      </w:r>
      <w:r>
        <w:rPr>
          <w:szCs w:val="24"/>
        </w:rPr>
        <w:t xml:space="preserve"> and over the long-term</w:t>
      </w:r>
      <w:r w:rsidRPr="00985103">
        <w:rPr>
          <w:szCs w:val="24"/>
        </w:rPr>
        <w:t>; an inability</w:t>
      </w:r>
      <w:r>
        <w:rPr>
          <w:szCs w:val="24"/>
        </w:rPr>
        <w:t xml:space="preserve"> to localize “the communication”</w:t>
      </w:r>
      <w:r w:rsidRPr="00985103">
        <w:rPr>
          <w:szCs w:val="24"/>
        </w:rPr>
        <w:t xml:space="preserve"> to direct signals within a dyadic unit; the permanent and varied role of organic and inorganic </w:t>
      </w:r>
      <w:r>
        <w:rPr>
          <w:szCs w:val="24"/>
        </w:rPr>
        <w:t>thirds and fourths</w:t>
      </w:r>
      <w:r w:rsidRPr="00985103">
        <w:rPr>
          <w:szCs w:val="24"/>
        </w:rPr>
        <w:t xml:space="preserve"> in every communication mechanism</w:t>
      </w:r>
      <w:r>
        <w:rPr>
          <w:szCs w:val="24"/>
        </w:rPr>
        <w:t xml:space="preserve">. There is also </w:t>
      </w:r>
      <w:r w:rsidRPr="00985103">
        <w:rPr>
          <w:szCs w:val="24"/>
        </w:rPr>
        <w:t>the fact that scientific stud</w:t>
      </w:r>
      <w:r>
        <w:rPr>
          <w:szCs w:val="24"/>
        </w:rPr>
        <w:t>y of plant signaling has</w:t>
      </w:r>
      <w:r w:rsidRPr="00985103">
        <w:rPr>
          <w:szCs w:val="24"/>
        </w:rPr>
        <w:t xml:space="preserve"> to isolate and fix its samples (genetically, geographically, temporally)</w:t>
      </w:r>
      <w:r>
        <w:rPr>
          <w:szCs w:val="24"/>
        </w:rPr>
        <w:t xml:space="preserve">, and to carry-on </w:t>
      </w:r>
      <w:r w:rsidRPr="00985103">
        <w:rPr>
          <w:szCs w:val="24"/>
        </w:rPr>
        <w:t>“as if in a common garden</w:t>
      </w:r>
      <w:r>
        <w:rPr>
          <w:szCs w:val="24"/>
        </w:rPr>
        <w:t>” (Hossaert-McKey, 2010: 85). What is lacking is</w:t>
      </w:r>
      <w:r w:rsidRPr="00985103">
        <w:rPr>
          <w:szCs w:val="24"/>
        </w:rPr>
        <w:t xml:space="preserve"> </w:t>
      </w:r>
      <w:r>
        <w:rPr>
          <w:szCs w:val="24"/>
        </w:rPr>
        <w:t>the living</w:t>
      </w:r>
      <w:r w:rsidRPr="00985103">
        <w:rPr>
          <w:szCs w:val="24"/>
        </w:rPr>
        <w:t xml:space="preserve"> matrix</w:t>
      </w:r>
      <w:r>
        <w:rPr>
          <w:szCs w:val="24"/>
        </w:rPr>
        <w:t xml:space="preserve"> itself. </w:t>
      </w:r>
    </w:p>
    <w:p w:rsidR="002D463E" w:rsidRPr="00985103" w:rsidRDefault="002D463E" w:rsidP="002D463E">
      <w:pPr>
        <w:autoSpaceDE w:val="0"/>
        <w:autoSpaceDN w:val="0"/>
        <w:adjustRightInd w:val="0"/>
        <w:rPr>
          <w:szCs w:val="24"/>
        </w:rPr>
      </w:pPr>
    </w:p>
    <w:p w:rsidR="002D463E" w:rsidRDefault="002D463E" w:rsidP="002D463E">
      <w:pPr>
        <w:pStyle w:val="InsideAddress"/>
        <w:spacing w:line="360" w:lineRule="auto"/>
        <w:rPr>
          <w:rFonts w:ascii="Times New Roman" w:hAnsi="Times New Roman"/>
          <w:i/>
          <w:sz w:val="24"/>
          <w:szCs w:val="24"/>
        </w:rPr>
      </w:pPr>
      <w:r>
        <w:rPr>
          <w:rFonts w:ascii="Times New Roman" w:hAnsi="Times New Roman"/>
          <w:kern w:val="0"/>
          <w:sz w:val="24"/>
          <w:szCs w:val="24"/>
        </w:rPr>
        <w:t xml:space="preserve">Through what plant communication </w:t>
      </w:r>
      <w:r>
        <w:rPr>
          <w:rFonts w:ascii="Times New Roman" w:hAnsi="Times New Roman"/>
          <w:i/>
          <w:kern w:val="0"/>
          <w:sz w:val="24"/>
          <w:szCs w:val="24"/>
        </w:rPr>
        <w:t xml:space="preserve">might </w:t>
      </w:r>
      <w:r w:rsidRPr="003F438E">
        <w:rPr>
          <w:rFonts w:ascii="Times New Roman" w:hAnsi="Times New Roman"/>
          <w:i/>
          <w:kern w:val="0"/>
          <w:sz w:val="24"/>
          <w:szCs w:val="24"/>
        </w:rPr>
        <w:t>not</w:t>
      </w:r>
      <w:r>
        <w:rPr>
          <w:rFonts w:ascii="Times New Roman" w:hAnsi="Times New Roman"/>
          <w:i/>
          <w:kern w:val="0"/>
          <w:sz w:val="24"/>
          <w:szCs w:val="24"/>
        </w:rPr>
        <w:t xml:space="preserve"> be</w:t>
      </w:r>
      <w:r>
        <w:rPr>
          <w:rFonts w:ascii="Times New Roman" w:hAnsi="Times New Roman"/>
          <w:kern w:val="0"/>
          <w:sz w:val="24"/>
          <w:szCs w:val="24"/>
        </w:rPr>
        <w:t xml:space="preserve"> </w:t>
      </w:r>
      <w:r w:rsidRPr="00985103">
        <w:rPr>
          <w:rFonts w:ascii="Times New Roman" w:hAnsi="Times New Roman"/>
          <w:kern w:val="0"/>
          <w:sz w:val="24"/>
          <w:szCs w:val="24"/>
        </w:rPr>
        <w:t xml:space="preserve">we </w:t>
      </w:r>
      <w:r>
        <w:rPr>
          <w:rFonts w:ascii="Times New Roman" w:hAnsi="Times New Roman"/>
          <w:kern w:val="0"/>
          <w:sz w:val="24"/>
          <w:szCs w:val="24"/>
        </w:rPr>
        <w:t xml:space="preserve">can </w:t>
      </w:r>
      <w:r w:rsidRPr="00985103">
        <w:rPr>
          <w:rFonts w:ascii="Times New Roman" w:hAnsi="Times New Roman"/>
          <w:kern w:val="0"/>
          <w:sz w:val="24"/>
          <w:szCs w:val="24"/>
        </w:rPr>
        <w:t xml:space="preserve">start to feel something else entirely </w:t>
      </w:r>
      <w:r w:rsidRPr="00985103">
        <w:rPr>
          <w:rFonts w:ascii="Times New Roman" w:hAnsi="Times New Roman"/>
          <w:i/>
          <w:kern w:val="0"/>
          <w:sz w:val="24"/>
          <w:szCs w:val="24"/>
        </w:rPr>
        <w:t>being expressed</w:t>
      </w:r>
      <w:r>
        <w:rPr>
          <w:rFonts w:ascii="Times New Roman" w:hAnsi="Times New Roman"/>
          <w:kern w:val="0"/>
          <w:sz w:val="24"/>
          <w:szCs w:val="24"/>
        </w:rPr>
        <w:t xml:space="preserve">. Certainty different verbs </w:t>
      </w:r>
      <w:r w:rsidRPr="00985103">
        <w:rPr>
          <w:rFonts w:ascii="Times New Roman" w:hAnsi="Times New Roman"/>
          <w:bCs/>
          <w:sz w:val="24"/>
          <w:szCs w:val="24"/>
        </w:rPr>
        <w:t xml:space="preserve">than </w:t>
      </w:r>
      <w:r>
        <w:rPr>
          <w:rFonts w:ascii="Times New Roman" w:hAnsi="Times New Roman"/>
          <w:bCs/>
          <w:sz w:val="24"/>
          <w:szCs w:val="24"/>
        </w:rPr>
        <w:t>being, evolving, communicating, reproducing, defending.</w:t>
      </w:r>
      <w:r w:rsidRPr="00985103">
        <w:rPr>
          <w:rFonts w:ascii="Times New Roman" w:hAnsi="Times New Roman"/>
          <w:bCs/>
          <w:sz w:val="24"/>
          <w:szCs w:val="24"/>
        </w:rPr>
        <w:t xml:space="preserve"> What is expressed is </w:t>
      </w:r>
      <w:r w:rsidRPr="00985103">
        <w:rPr>
          <w:rFonts w:ascii="Times New Roman" w:hAnsi="Times New Roman"/>
          <w:bCs/>
          <w:i/>
          <w:sz w:val="24"/>
          <w:szCs w:val="24"/>
        </w:rPr>
        <w:t xml:space="preserve">becoming. </w:t>
      </w:r>
      <w:r>
        <w:rPr>
          <w:rFonts w:ascii="Times New Roman" w:hAnsi="Times New Roman"/>
          <w:bCs/>
          <w:sz w:val="24"/>
          <w:szCs w:val="24"/>
        </w:rPr>
        <w:t>In their plateau, “1730: Becoming-Intense, Becoming-Animal, Becoming-Imperceptible…” D</w:t>
      </w:r>
      <w:r w:rsidRPr="00985103">
        <w:rPr>
          <w:rFonts w:ascii="Times New Roman" w:hAnsi="Times New Roman"/>
          <w:bCs/>
          <w:sz w:val="24"/>
          <w:szCs w:val="24"/>
        </w:rPr>
        <w:t>eleuze and Guattari write</w:t>
      </w:r>
      <w:r>
        <w:rPr>
          <w:rFonts w:ascii="Times New Roman" w:hAnsi="Times New Roman"/>
          <w:bCs/>
          <w:sz w:val="24"/>
          <w:szCs w:val="24"/>
        </w:rPr>
        <w:t>:</w:t>
      </w:r>
      <w:r>
        <w:rPr>
          <w:rFonts w:ascii="Times New Roman" w:hAnsi="Times New Roman"/>
          <w:i/>
          <w:sz w:val="24"/>
          <w:szCs w:val="24"/>
        </w:rPr>
        <w:t xml:space="preserve"> </w:t>
      </w:r>
    </w:p>
    <w:p w:rsidR="002D463E" w:rsidRDefault="002D463E" w:rsidP="002D463E">
      <w:pPr>
        <w:pStyle w:val="InsideAddress"/>
        <w:spacing w:line="240" w:lineRule="auto"/>
        <w:ind w:left="737" w:right="737"/>
        <w:rPr>
          <w:rFonts w:ascii="Times New Roman" w:hAnsi="Times New Roman"/>
          <w:sz w:val="24"/>
          <w:szCs w:val="24"/>
        </w:rPr>
      </w:pPr>
    </w:p>
    <w:p w:rsidR="002D463E" w:rsidRPr="003F438E" w:rsidRDefault="002D463E" w:rsidP="00A30E4F">
      <w:pPr>
        <w:pStyle w:val="InsideAddress"/>
        <w:spacing w:line="360" w:lineRule="auto"/>
        <w:ind w:left="737" w:right="737"/>
        <w:rPr>
          <w:rFonts w:ascii="Times New Roman" w:hAnsi="Times New Roman"/>
          <w:kern w:val="0"/>
          <w:sz w:val="24"/>
          <w:szCs w:val="24"/>
        </w:rPr>
      </w:pPr>
      <w:r w:rsidRPr="003F438E">
        <w:rPr>
          <w:rFonts w:ascii="Times New Roman" w:hAnsi="Times New Roman"/>
          <w:sz w:val="24"/>
          <w:szCs w:val="24"/>
        </w:rPr>
        <w:t>To become is not to progress or regress along a series…Becoming is not an evolution, at least not by descent and filiation…It concerns alliance…If evolution includes any veritable becomings, it is in the domain of symbioses that bring into play beings of totally different scales and kingdoms, with no possible filiation…” (</w:t>
      </w:r>
      <w:r>
        <w:rPr>
          <w:rFonts w:ascii="Times New Roman" w:hAnsi="Times New Roman"/>
          <w:sz w:val="24"/>
          <w:szCs w:val="24"/>
        </w:rPr>
        <w:t xml:space="preserve">1987: </w:t>
      </w:r>
      <w:r w:rsidRPr="003F438E">
        <w:rPr>
          <w:rFonts w:ascii="Times New Roman" w:hAnsi="Times New Roman"/>
          <w:sz w:val="24"/>
          <w:szCs w:val="24"/>
        </w:rPr>
        <w:t>238)</w:t>
      </w:r>
      <w:r w:rsidRPr="003F438E">
        <w:rPr>
          <w:rFonts w:ascii="Times New Roman" w:hAnsi="Times New Roman"/>
          <w:kern w:val="0"/>
          <w:sz w:val="24"/>
          <w:szCs w:val="24"/>
        </w:rPr>
        <w:t xml:space="preserve"> </w:t>
      </w:r>
    </w:p>
    <w:p w:rsidR="002D463E" w:rsidRDefault="002D463E" w:rsidP="002D463E">
      <w:pPr>
        <w:pStyle w:val="InsideAddress"/>
        <w:spacing w:line="360" w:lineRule="auto"/>
        <w:rPr>
          <w:rFonts w:ascii="Times New Roman" w:hAnsi="Times New Roman"/>
          <w:kern w:val="0"/>
          <w:sz w:val="24"/>
          <w:szCs w:val="24"/>
        </w:rPr>
      </w:pPr>
    </w:p>
    <w:p w:rsidR="002D463E" w:rsidRPr="00DB1D46" w:rsidRDefault="002D463E" w:rsidP="002D463E">
      <w:pPr>
        <w:pStyle w:val="InsideAddress"/>
        <w:spacing w:line="360" w:lineRule="auto"/>
        <w:rPr>
          <w:rFonts w:ascii="Times New Roman" w:hAnsi="Times New Roman"/>
          <w:sz w:val="24"/>
          <w:szCs w:val="24"/>
        </w:rPr>
      </w:pPr>
      <w:r w:rsidRPr="00985103">
        <w:rPr>
          <w:rFonts w:ascii="Times New Roman" w:hAnsi="Times New Roman"/>
          <w:kern w:val="0"/>
          <w:sz w:val="24"/>
          <w:szCs w:val="24"/>
        </w:rPr>
        <w:t>Thinking plant-thoughts shoves</w:t>
      </w:r>
      <w:r>
        <w:rPr>
          <w:rFonts w:ascii="Times New Roman" w:hAnsi="Times New Roman"/>
          <w:kern w:val="0"/>
          <w:sz w:val="24"/>
          <w:szCs w:val="24"/>
        </w:rPr>
        <w:t xml:space="preserve"> us in a </w:t>
      </w:r>
      <w:r>
        <w:rPr>
          <w:rFonts w:ascii="Times New Roman" w:hAnsi="Times New Roman"/>
          <w:i/>
          <w:kern w:val="0"/>
          <w:sz w:val="24"/>
          <w:szCs w:val="24"/>
        </w:rPr>
        <w:t>better</w:t>
      </w:r>
      <w:r>
        <w:rPr>
          <w:rFonts w:ascii="Times New Roman" w:hAnsi="Times New Roman"/>
          <w:kern w:val="0"/>
          <w:sz w:val="24"/>
          <w:szCs w:val="24"/>
        </w:rPr>
        <w:t xml:space="preserve"> way </w:t>
      </w:r>
      <w:r w:rsidRPr="00985103">
        <w:rPr>
          <w:rFonts w:ascii="Times New Roman" w:hAnsi="Times New Roman"/>
          <w:kern w:val="0"/>
          <w:sz w:val="24"/>
          <w:szCs w:val="24"/>
        </w:rPr>
        <w:t>than thinking animal-thoughts does, to</w:t>
      </w:r>
      <w:r>
        <w:rPr>
          <w:rFonts w:ascii="Times New Roman" w:hAnsi="Times New Roman"/>
          <w:kern w:val="0"/>
          <w:sz w:val="24"/>
          <w:szCs w:val="24"/>
        </w:rPr>
        <w:t xml:space="preserve">ward </w:t>
      </w:r>
      <w:r w:rsidRPr="00985103">
        <w:rPr>
          <w:rFonts w:ascii="Times New Roman" w:hAnsi="Times New Roman"/>
          <w:kern w:val="0"/>
          <w:sz w:val="24"/>
          <w:szCs w:val="24"/>
        </w:rPr>
        <w:t>the truth that the “correct unit” of analysis is not the individual</w:t>
      </w:r>
      <w:r>
        <w:rPr>
          <w:rFonts w:ascii="Times New Roman" w:hAnsi="Times New Roman"/>
          <w:kern w:val="0"/>
          <w:sz w:val="24"/>
          <w:szCs w:val="24"/>
        </w:rPr>
        <w:t>,</w:t>
      </w:r>
      <w:r w:rsidRPr="00985103">
        <w:rPr>
          <w:rFonts w:ascii="Times New Roman" w:hAnsi="Times New Roman"/>
          <w:kern w:val="0"/>
          <w:sz w:val="24"/>
          <w:szCs w:val="24"/>
        </w:rPr>
        <w:t xml:space="preserve"> </w:t>
      </w:r>
      <w:r>
        <w:rPr>
          <w:rFonts w:ascii="Times New Roman" w:hAnsi="Times New Roman"/>
          <w:kern w:val="0"/>
          <w:sz w:val="24"/>
          <w:szCs w:val="24"/>
        </w:rPr>
        <w:t>n</w:t>
      </w:r>
      <w:r w:rsidRPr="00985103">
        <w:rPr>
          <w:rFonts w:ascii="Times New Roman" w:hAnsi="Times New Roman"/>
          <w:kern w:val="0"/>
          <w:sz w:val="24"/>
          <w:szCs w:val="24"/>
        </w:rPr>
        <w:t>or the dyad</w:t>
      </w:r>
      <w:r>
        <w:rPr>
          <w:rFonts w:ascii="Times New Roman" w:hAnsi="Times New Roman"/>
          <w:kern w:val="0"/>
          <w:sz w:val="24"/>
          <w:szCs w:val="24"/>
        </w:rPr>
        <w:t>,</w:t>
      </w:r>
      <w:r w:rsidRPr="00985103">
        <w:rPr>
          <w:rFonts w:ascii="Times New Roman" w:hAnsi="Times New Roman"/>
          <w:kern w:val="0"/>
          <w:sz w:val="24"/>
          <w:szCs w:val="24"/>
        </w:rPr>
        <w:t xml:space="preserve"> but “the assemblage.” The assemblage is not a unit in the sense of a stable physical entity with a particular form and having one or two particular components and one or two dominant functions, rather it is a description of the quality, or state, of a radical collectivit</w:t>
      </w:r>
      <w:r>
        <w:rPr>
          <w:rFonts w:ascii="Times New Roman" w:hAnsi="Times New Roman"/>
          <w:kern w:val="0"/>
          <w:sz w:val="24"/>
          <w:szCs w:val="24"/>
        </w:rPr>
        <w:t>y (</w:t>
      </w:r>
      <w:r w:rsidRPr="00985103">
        <w:rPr>
          <w:rFonts w:ascii="Times New Roman" w:hAnsi="Times New Roman"/>
          <w:kern w:val="0"/>
          <w:sz w:val="24"/>
          <w:szCs w:val="24"/>
        </w:rPr>
        <w:t>or</w:t>
      </w:r>
      <w:r>
        <w:rPr>
          <w:rFonts w:ascii="Times New Roman" w:hAnsi="Times New Roman"/>
          <w:kern w:val="0"/>
          <w:sz w:val="24"/>
          <w:szCs w:val="24"/>
        </w:rPr>
        <w:t xml:space="preserve"> what Deleuze and Guattari cheekily call</w:t>
      </w:r>
      <w:r w:rsidRPr="00985103">
        <w:rPr>
          <w:rFonts w:ascii="Times New Roman" w:hAnsi="Times New Roman"/>
          <w:kern w:val="0"/>
          <w:sz w:val="24"/>
          <w:szCs w:val="24"/>
        </w:rPr>
        <w:t xml:space="preserve"> “unholy alliances”</w:t>
      </w:r>
      <w:r>
        <w:rPr>
          <w:rFonts w:ascii="Times New Roman" w:hAnsi="Times New Roman"/>
          <w:kern w:val="0"/>
          <w:sz w:val="24"/>
          <w:szCs w:val="24"/>
        </w:rPr>
        <w:t>).</w:t>
      </w:r>
      <w:r w:rsidRPr="00985103">
        <w:rPr>
          <w:rFonts w:ascii="Times New Roman" w:hAnsi="Times New Roman"/>
          <w:kern w:val="0"/>
          <w:sz w:val="24"/>
          <w:szCs w:val="24"/>
        </w:rPr>
        <w:t xml:space="preserve"> </w:t>
      </w:r>
      <w:r w:rsidRPr="00985103">
        <w:rPr>
          <w:rFonts w:ascii="Times New Roman" w:hAnsi="Times New Roman"/>
          <w:sz w:val="24"/>
          <w:szCs w:val="24"/>
        </w:rPr>
        <w:t xml:space="preserve">An assemblage is less a thing than a transitory </w:t>
      </w:r>
      <w:r>
        <w:rPr>
          <w:rFonts w:ascii="Times New Roman" w:hAnsi="Times New Roman"/>
          <w:sz w:val="24"/>
          <w:szCs w:val="24"/>
        </w:rPr>
        <w:t xml:space="preserve">verb with a particular consistency, or a mobile </w:t>
      </w:r>
      <w:r w:rsidRPr="00985103">
        <w:rPr>
          <w:rFonts w:ascii="Times New Roman" w:hAnsi="Times New Roman"/>
          <w:sz w:val="24"/>
          <w:szCs w:val="24"/>
        </w:rPr>
        <w:t>state</w:t>
      </w:r>
      <w:r>
        <w:rPr>
          <w:rFonts w:ascii="Times New Roman" w:hAnsi="Times New Roman"/>
          <w:sz w:val="24"/>
          <w:szCs w:val="24"/>
        </w:rPr>
        <w:t>. And</w:t>
      </w:r>
      <w:r w:rsidRPr="00985103">
        <w:rPr>
          <w:rFonts w:ascii="Times New Roman" w:hAnsi="Times New Roman"/>
          <w:sz w:val="24"/>
          <w:szCs w:val="24"/>
        </w:rPr>
        <w:t xml:space="preserve"> “[s]t</w:t>
      </w:r>
      <w:r w:rsidRPr="00985103">
        <w:rPr>
          <w:rFonts w:ascii="Times New Roman" w:hAnsi="Times New Roman"/>
          <w:i/>
          <w:sz w:val="24"/>
          <w:szCs w:val="24"/>
        </w:rPr>
        <w:t>ates are made up not only of people but also of wood, field, gardens, animals, and commodities”</w:t>
      </w:r>
      <w:r w:rsidRPr="00985103">
        <w:rPr>
          <w:rFonts w:ascii="Times New Roman" w:hAnsi="Times New Roman"/>
          <w:sz w:val="24"/>
          <w:szCs w:val="24"/>
        </w:rPr>
        <w:t xml:space="preserve"> </w:t>
      </w:r>
      <w:r w:rsidRPr="00B9359D">
        <w:rPr>
          <w:rFonts w:ascii="Times New Roman" w:hAnsi="Times New Roman"/>
          <w:sz w:val="24"/>
          <w:szCs w:val="24"/>
        </w:rPr>
        <w:t>(1987:</w:t>
      </w:r>
      <w:r>
        <w:rPr>
          <w:rFonts w:ascii="Times New Roman" w:hAnsi="Times New Roman"/>
          <w:sz w:val="24"/>
          <w:szCs w:val="24"/>
        </w:rPr>
        <w:t xml:space="preserve"> </w:t>
      </w:r>
      <w:r w:rsidRPr="00985103">
        <w:rPr>
          <w:rFonts w:ascii="Times New Roman" w:hAnsi="Times New Roman"/>
          <w:sz w:val="24"/>
          <w:szCs w:val="24"/>
        </w:rPr>
        <w:t>385).</w:t>
      </w:r>
      <w:r>
        <w:rPr>
          <w:rFonts w:ascii="Times New Roman" w:hAnsi="Times New Roman"/>
          <w:sz w:val="24"/>
          <w:szCs w:val="24"/>
        </w:rPr>
        <w:t xml:space="preserve"> They write: </w:t>
      </w:r>
    </w:p>
    <w:p w:rsidR="002D463E" w:rsidRDefault="002D463E" w:rsidP="00A30E4F">
      <w:pPr>
        <w:pStyle w:val="InsideAddress"/>
        <w:spacing w:line="360" w:lineRule="auto"/>
        <w:ind w:left="720"/>
        <w:rPr>
          <w:rFonts w:ascii="Times New Roman" w:hAnsi="Times New Roman"/>
          <w:bCs/>
          <w:i/>
          <w:sz w:val="24"/>
          <w:szCs w:val="24"/>
        </w:rPr>
      </w:pPr>
      <w:r w:rsidRPr="00B82C2A">
        <w:rPr>
          <w:rFonts w:ascii="Times New Roman" w:hAnsi="Times New Roman"/>
          <w:bCs/>
          <w:sz w:val="24"/>
          <w:szCs w:val="24"/>
        </w:rPr>
        <w:t>It is quite simple; everybody knows it, but it is discussed only in secret…Unnatural participations or nuptials are the true Nature spann</w:t>
      </w:r>
      <w:r>
        <w:rPr>
          <w:rFonts w:ascii="Times New Roman" w:hAnsi="Times New Roman"/>
          <w:bCs/>
          <w:sz w:val="24"/>
          <w:szCs w:val="24"/>
        </w:rPr>
        <w:t>ing the kingdoms of Nature</w:t>
      </w:r>
      <w:r w:rsidRPr="00B82C2A">
        <w:rPr>
          <w:rFonts w:ascii="Times New Roman" w:hAnsi="Times New Roman"/>
          <w:bCs/>
          <w:sz w:val="24"/>
          <w:szCs w:val="24"/>
        </w:rPr>
        <w:t>…</w:t>
      </w:r>
      <w:r>
        <w:rPr>
          <w:rFonts w:ascii="Times New Roman" w:hAnsi="Times New Roman"/>
          <w:bCs/>
          <w:sz w:val="24"/>
          <w:szCs w:val="24"/>
        </w:rPr>
        <w:t xml:space="preserve"> </w:t>
      </w:r>
      <w:r w:rsidRPr="00B82C2A">
        <w:rPr>
          <w:rFonts w:ascii="Times New Roman" w:hAnsi="Times New Roman"/>
          <w:bCs/>
          <w:sz w:val="24"/>
          <w:szCs w:val="24"/>
        </w:rPr>
        <w:t>involves terms that are entirely heterogeneous: for example, a human being, an animal, and a bacterium, a virus, a molecules, a microorganism. Or in the case of the truffle, a tree, a fly, and a pig. These combinations are neither genetic nor structural; they are interkingdoms, unnatural participations. These multiplicities with heterogeneous terms, cofunctioning by contagion, enter certain assemblages (24</w:t>
      </w:r>
      <w:r>
        <w:rPr>
          <w:rFonts w:ascii="Times New Roman" w:hAnsi="Times New Roman"/>
          <w:bCs/>
          <w:sz w:val="24"/>
          <w:szCs w:val="24"/>
        </w:rPr>
        <w:t>1-24</w:t>
      </w:r>
      <w:r w:rsidRPr="00B82C2A">
        <w:rPr>
          <w:rFonts w:ascii="Times New Roman" w:hAnsi="Times New Roman"/>
          <w:bCs/>
          <w:sz w:val="24"/>
          <w:szCs w:val="24"/>
        </w:rPr>
        <w:t>2)</w:t>
      </w:r>
      <w:r w:rsidRPr="00985103">
        <w:rPr>
          <w:rFonts w:ascii="Times New Roman" w:hAnsi="Times New Roman"/>
          <w:bCs/>
          <w:i/>
          <w:sz w:val="24"/>
          <w:szCs w:val="24"/>
        </w:rPr>
        <w:t xml:space="preserve">. </w:t>
      </w:r>
    </w:p>
    <w:p w:rsidR="002D463E" w:rsidRDefault="002D463E" w:rsidP="002D463E">
      <w:pPr>
        <w:pStyle w:val="InsideAddress"/>
        <w:spacing w:line="360" w:lineRule="auto"/>
        <w:rPr>
          <w:rFonts w:ascii="Times New Roman" w:hAnsi="Times New Roman"/>
          <w:bCs/>
          <w:i/>
          <w:sz w:val="24"/>
          <w:szCs w:val="24"/>
        </w:rPr>
      </w:pPr>
    </w:p>
    <w:p w:rsidR="002D463E" w:rsidRPr="000678B8" w:rsidRDefault="002D463E" w:rsidP="002D463E">
      <w:pPr>
        <w:pStyle w:val="InsideAddress"/>
        <w:spacing w:line="360" w:lineRule="auto"/>
        <w:rPr>
          <w:rFonts w:ascii="Times New Roman" w:hAnsi="Times New Roman"/>
          <w:sz w:val="24"/>
          <w:szCs w:val="24"/>
        </w:rPr>
      </w:pPr>
      <w:r w:rsidRPr="00985103">
        <w:rPr>
          <w:rFonts w:ascii="Times New Roman" w:hAnsi="Times New Roman"/>
          <w:sz w:val="24"/>
          <w:szCs w:val="24"/>
        </w:rPr>
        <w:t>“</w:t>
      </w:r>
      <w:r w:rsidRPr="00985103">
        <w:rPr>
          <w:rFonts w:ascii="Times New Roman" w:hAnsi="Times New Roman"/>
          <w:kern w:val="0"/>
          <w:sz w:val="24"/>
          <w:szCs w:val="24"/>
        </w:rPr>
        <w:t>All kinds of heterogeneous elements show up…not only the…materials, colors, odors, sounds, postures, etc</w:t>
      </w:r>
      <w:r>
        <w:rPr>
          <w:rFonts w:ascii="Times New Roman" w:hAnsi="Times New Roman"/>
          <w:kern w:val="0"/>
          <w:sz w:val="24"/>
          <w:szCs w:val="24"/>
        </w:rPr>
        <w:t xml:space="preserve">…” </w:t>
      </w:r>
      <w:r w:rsidRPr="00985103">
        <w:rPr>
          <w:rFonts w:ascii="Times New Roman" w:hAnsi="Times New Roman"/>
          <w:kern w:val="0"/>
          <w:sz w:val="24"/>
          <w:szCs w:val="24"/>
        </w:rPr>
        <w:t>(</w:t>
      </w:r>
      <w:r>
        <w:rPr>
          <w:rFonts w:ascii="Times New Roman" w:hAnsi="Times New Roman"/>
          <w:kern w:val="0"/>
          <w:sz w:val="24"/>
          <w:szCs w:val="24"/>
        </w:rPr>
        <w:t>323).</w:t>
      </w:r>
      <w:r w:rsidRPr="00985103">
        <w:rPr>
          <w:rFonts w:ascii="Times New Roman" w:hAnsi="Times New Roman"/>
          <w:bCs/>
          <w:i/>
          <w:sz w:val="24"/>
          <w:szCs w:val="24"/>
        </w:rPr>
        <w:t xml:space="preserve"> </w:t>
      </w:r>
      <w:r w:rsidRPr="00985103">
        <w:rPr>
          <w:rFonts w:ascii="Times New Roman" w:hAnsi="Times New Roman"/>
          <w:sz w:val="24"/>
          <w:szCs w:val="24"/>
        </w:rPr>
        <w:t>“We therefore call it the plane of Nature, although nature has nothing to do with it, since on this plane there is no distinction between the na</w:t>
      </w:r>
      <w:r>
        <w:rPr>
          <w:rFonts w:ascii="Times New Roman" w:hAnsi="Times New Roman"/>
          <w:sz w:val="24"/>
          <w:szCs w:val="24"/>
        </w:rPr>
        <w:t>tural and the artificial” (</w:t>
      </w:r>
      <w:r w:rsidRPr="00985103">
        <w:rPr>
          <w:rFonts w:ascii="Times New Roman" w:hAnsi="Times New Roman"/>
          <w:sz w:val="24"/>
          <w:szCs w:val="24"/>
        </w:rPr>
        <w:t>266).</w:t>
      </w:r>
      <w:r>
        <w:rPr>
          <w:rFonts w:ascii="Times New Roman" w:hAnsi="Times New Roman"/>
          <w:sz w:val="24"/>
          <w:szCs w:val="24"/>
        </w:rPr>
        <w:t xml:space="preserve"> </w:t>
      </w:r>
      <w:r w:rsidRPr="00985103">
        <w:rPr>
          <w:rFonts w:ascii="Times New Roman" w:hAnsi="Times New Roman"/>
          <w:sz w:val="24"/>
          <w:szCs w:val="24"/>
        </w:rPr>
        <w:t>The punchline is that the teloi or “self-realization” of plant communication is neither strictly individual nor even species-specific but is accomplished in and through radical kinships, through a fantastically versatile and multi-directional capacity to harmonize a multiplicity of actions.</w:t>
      </w:r>
      <w:r w:rsidRPr="00A04B7E">
        <w:rPr>
          <w:rFonts w:ascii="Times New Roman" w:hAnsi="Times New Roman"/>
          <w:sz w:val="24"/>
          <w:szCs w:val="24"/>
        </w:rPr>
        <w:t xml:space="preserve"> </w:t>
      </w:r>
      <w:r w:rsidRPr="00985103">
        <w:rPr>
          <w:rFonts w:ascii="Times New Roman" w:hAnsi="Times New Roman"/>
          <w:sz w:val="24"/>
          <w:szCs w:val="24"/>
        </w:rPr>
        <w:t xml:space="preserve">Whatever plants are up to, it </w:t>
      </w:r>
      <w:r w:rsidRPr="00985103">
        <w:rPr>
          <w:rFonts w:ascii="Times New Roman" w:hAnsi="Times New Roman"/>
          <w:i/>
          <w:sz w:val="24"/>
          <w:szCs w:val="24"/>
        </w:rPr>
        <w:t>is</w:t>
      </w:r>
      <w:r w:rsidRPr="00985103">
        <w:rPr>
          <w:rFonts w:ascii="Times New Roman" w:hAnsi="Times New Roman"/>
          <w:sz w:val="24"/>
          <w:szCs w:val="24"/>
        </w:rPr>
        <w:t xml:space="preserve"> complex being-together in the world, </w:t>
      </w:r>
      <w:r>
        <w:rPr>
          <w:rFonts w:ascii="Times New Roman" w:hAnsi="Times New Roman"/>
          <w:sz w:val="24"/>
          <w:szCs w:val="24"/>
        </w:rPr>
        <w:t xml:space="preserve">an </w:t>
      </w:r>
      <w:r>
        <w:rPr>
          <w:rFonts w:ascii="Times New Roman" w:hAnsi="Times New Roman"/>
          <w:i/>
          <w:sz w:val="24"/>
          <w:szCs w:val="24"/>
        </w:rPr>
        <w:t xml:space="preserve">original sociality </w:t>
      </w:r>
      <w:r>
        <w:rPr>
          <w:rFonts w:ascii="Times New Roman" w:hAnsi="Times New Roman"/>
          <w:sz w:val="24"/>
          <w:szCs w:val="24"/>
        </w:rPr>
        <w:t>going beyond any simple sense of</w:t>
      </w:r>
      <w:r w:rsidRPr="00985103">
        <w:rPr>
          <w:rFonts w:ascii="Times New Roman" w:hAnsi="Times New Roman"/>
          <w:sz w:val="24"/>
          <w:szCs w:val="24"/>
        </w:rPr>
        <w:t xml:space="preserve"> </w:t>
      </w:r>
      <w:r w:rsidRPr="00985103">
        <w:rPr>
          <w:rFonts w:ascii="Times New Roman" w:hAnsi="Times New Roman"/>
          <w:i/>
          <w:sz w:val="24"/>
          <w:szCs w:val="24"/>
        </w:rPr>
        <w:t>between</w:t>
      </w:r>
      <w:r>
        <w:rPr>
          <w:rFonts w:ascii="Times New Roman" w:hAnsi="Times New Roman"/>
          <w:i/>
          <w:sz w:val="24"/>
          <w:szCs w:val="24"/>
        </w:rPr>
        <w:t xml:space="preserve">. </w:t>
      </w:r>
    </w:p>
    <w:p w:rsidR="002D463E" w:rsidRDefault="002D463E" w:rsidP="002D463E">
      <w:pPr>
        <w:pStyle w:val="InsideAddress"/>
        <w:spacing w:line="360" w:lineRule="auto"/>
        <w:rPr>
          <w:rFonts w:ascii="Times New Roman" w:hAnsi="Times New Roman"/>
          <w:kern w:val="0"/>
          <w:sz w:val="24"/>
          <w:szCs w:val="24"/>
        </w:rPr>
      </w:pPr>
      <w:r w:rsidRPr="00985103">
        <w:rPr>
          <w:rFonts w:ascii="Times New Roman" w:hAnsi="Times New Roman"/>
          <w:kern w:val="0"/>
          <w:sz w:val="24"/>
          <w:szCs w:val="24"/>
        </w:rPr>
        <w:br/>
        <w:t xml:space="preserve">Such insights should shame us away from </w:t>
      </w:r>
      <w:r>
        <w:rPr>
          <w:rFonts w:ascii="Times New Roman" w:hAnsi="Times New Roman"/>
          <w:kern w:val="0"/>
          <w:sz w:val="24"/>
          <w:szCs w:val="24"/>
        </w:rPr>
        <w:t>our floral-</w:t>
      </w:r>
      <w:r w:rsidRPr="00985103">
        <w:rPr>
          <w:rFonts w:ascii="Times New Roman" w:hAnsi="Times New Roman"/>
          <w:kern w:val="0"/>
          <w:sz w:val="24"/>
          <w:szCs w:val="24"/>
        </w:rPr>
        <w:t xml:space="preserve">show </w:t>
      </w:r>
      <w:r>
        <w:rPr>
          <w:rFonts w:ascii="Times New Roman" w:hAnsi="Times New Roman"/>
          <w:kern w:val="0"/>
          <w:sz w:val="24"/>
          <w:szCs w:val="24"/>
        </w:rPr>
        <w:t>stereotypy</w:t>
      </w:r>
      <w:r w:rsidRPr="00985103">
        <w:rPr>
          <w:rFonts w:ascii="Times New Roman" w:hAnsi="Times New Roman"/>
          <w:kern w:val="0"/>
          <w:sz w:val="24"/>
          <w:szCs w:val="24"/>
        </w:rPr>
        <w:t xml:space="preserve"> of “placing plants” in their correct position, ontolog</w:t>
      </w:r>
      <w:r>
        <w:rPr>
          <w:rFonts w:ascii="Times New Roman" w:hAnsi="Times New Roman"/>
          <w:kern w:val="0"/>
          <w:sz w:val="24"/>
          <w:szCs w:val="24"/>
        </w:rPr>
        <w:t>ically, linguistically, morally. It should also uproot our</w:t>
      </w:r>
      <w:r w:rsidRPr="00985103">
        <w:rPr>
          <w:rFonts w:ascii="Times New Roman" w:hAnsi="Times New Roman"/>
          <w:kern w:val="0"/>
          <w:sz w:val="24"/>
          <w:szCs w:val="24"/>
        </w:rPr>
        <w:t xml:space="preserve"> </w:t>
      </w:r>
      <w:r>
        <w:rPr>
          <w:rFonts w:ascii="Times New Roman" w:hAnsi="Times New Roman"/>
          <w:kern w:val="0"/>
          <w:sz w:val="24"/>
          <w:szCs w:val="24"/>
        </w:rPr>
        <w:t xml:space="preserve">habit of </w:t>
      </w:r>
      <w:r w:rsidRPr="00985103">
        <w:rPr>
          <w:rFonts w:ascii="Times New Roman" w:hAnsi="Times New Roman"/>
          <w:kern w:val="0"/>
          <w:sz w:val="24"/>
          <w:szCs w:val="24"/>
        </w:rPr>
        <w:t xml:space="preserve">thinking that all this thought </w:t>
      </w:r>
      <w:r>
        <w:rPr>
          <w:rFonts w:ascii="Times New Roman" w:hAnsi="Times New Roman"/>
          <w:kern w:val="0"/>
          <w:sz w:val="24"/>
          <w:szCs w:val="24"/>
        </w:rPr>
        <w:t>of ours i</w:t>
      </w:r>
      <w:r w:rsidRPr="00985103">
        <w:rPr>
          <w:rFonts w:ascii="Times New Roman" w:hAnsi="Times New Roman"/>
          <w:kern w:val="0"/>
          <w:sz w:val="24"/>
          <w:szCs w:val="24"/>
        </w:rPr>
        <w:t xml:space="preserve">s </w:t>
      </w:r>
      <w:r>
        <w:rPr>
          <w:rFonts w:ascii="Times New Roman" w:hAnsi="Times New Roman"/>
          <w:kern w:val="0"/>
          <w:sz w:val="24"/>
          <w:szCs w:val="24"/>
        </w:rPr>
        <w:t xml:space="preserve">ultimately </w:t>
      </w:r>
      <w:r w:rsidRPr="00985103">
        <w:rPr>
          <w:rFonts w:ascii="Times New Roman" w:hAnsi="Times New Roman"/>
          <w:kern w:val="0"/>
          <w:sz w:val="24"/>
          <w:szCs w:val="24"/>
        </w:rPr>
        <w:t>to hel</w:t>
      </w:r>
      <w:r>
        <w:rPr>
          <w:rFonts w:ascii="Times New Roman" w:hAnsi="Times New Roman"/>
          <w:kern w:val="0"/>
          <w:sz w:val="24"/>
          <w:szCs w:val="24"/>
        </w:rPr>
        <w:t xml:space="preserve">p us to understand </w:t>
      </w:r>
      <w:r w:rsidRPr="00E61F52">
        <w:rPr>
          <w:rFonts w:ascii="Times New Roman" w:hAnsi="Times New Roman"/>
          <w:i/>
          <w:kern w:val="0"/>
          <w:sz w:val="24"/>
          <w:szCs w:val="24"/>
        </w:rPr>
        <w:t>what</w:t>
      </w:r>
      <w:r>
        <w:rPr>
          <w:rFonts w:ascii="Times New Roman" w:hAnsi="Times New Roman"/>
          <w:kern w:val="0"/>
          <w:sz w:val="24"/>
          <w:szCs w:val="24"/>
        </w:rPr>
        <w:t xml:space="preserve"> they are.</w:t>
      </w:r>
      <w:r w:rsidRPr="00985103">
        <w:rPr>
          <w:rFonts w:ascii="Times New Roman" w:hAnsi="Times New Roman"/>
          <w:kern w:val="0"/>
          <w:sz w:val="24"/>
          <w:szCs w:val="24"/>
        </w:rPr>
        <w:t xml:space="preserve"> In its </w:t>
      </w:r>
      <w:r>
        <w:rPr>
          <w:rFonts w:ascii="Times New Roman" w:hAnsi="Times New Roman"/>
          <w:kern w:val="0"/>
          <w:sz w:val="24"/>
          <w:szCs w:val="24"/>
        </w:rPr>
        <w:t xml:space="preserve">remarkable and singular </w:t>
      </w:r>
      <w:r w:rsidRPr="00985103">
        <w:rPr>
          <w:rFonts w:ascii="Times New Roman" w:hAnsi="Times New Roman"/>
          <w:kern w:val="0"/>
          <w:sz w:val="24"/>
          <w:szCs w:val="24"/>
        </w:rPr>
        <w:t>power to thwart those very efforts becoming-plant</w:t>
      </w:r>
      <w:r w:rsidRPr="00985103">
        <w:rPr>
          <w:rFonts w:ascii="Times New Roman" w:hAnsi="Times New Roman"/>
          <w:i/>
          <w:kern w:val="0"/>
          <w:sz w:val="24"/>
          <w:szCs w:val="24"/>
        </w:rPr>
        <w:t xml:space="preserve"> forces us</w:t>
      </w:r>
      <w:r w:rsidRPr="00985103">
        <w:rPr>
          <w:rFonts w:ascii="Times New Roman" w:hAnsi="Times New Roman"/>
          <w:kern w:val="0"/>
          <w:sz w:val="24"/>
          <w:szCs w:val="24"/>
        </w:rPr>
        <w:t xml:space="preserve"> to think instead the complex ways that </w:t>
      </w:r>
      <w:r w:rsidRPr="00985103">
        <w:rPr>
          <w:rFonts w:ascii="Times New Roman" w:hAnsi="Times New Roman"/>
          <w:i/>
          <w:kern w:val="0"/>
          <w:sz w:val="24"/>
          <w:szCs w:val="24"/>
        </w:rPr>
        <w:t>plantness composes us</w:t>
      </w:r>
      <w:r w:rsidRPr="00985103">
        <w:rPr>
          <w:rFonts w:ascii="Times New Roman" w:hAnsi="Times New Roman"/>
          <w:kern w:val="0"/>
          <w:sz w:val="24"/>
          <w:szCs w:val="24"/>
        </w:rPr>
        <w:t xml:space="preserve">.  “Deleuze opens us to the idea…that the elements of the different individuals we compose may be nonhuman </w:t>
      </w:r>
      <w:r w:rsidRPr="00985103">
        <w:rPr>
          <w:rFonts w:ascii="Times New Roman" w:hAnsi="Times New Roman"/>
          <w:i/>
          <w:kern w:val="0"/>
          <w:sz w:val="24"/>
          <w:szCs w:val="24"/>
        </w:rPr>
        <w:t xml:space="preserve">within </w:t>
      </w:r>
      <w:r w:rsidRPr="00985103">
        <w:rPr>
          <w:rFonts w:ascii="Times New Roman" w:hAnsi="Times New Roman"/>
          <w:kern w:val="0"/>
          <w:sz w:val="24"/>
          <w:szCs w:val="24"/>
        </w:rPr>
        <w:t>us. What we are capable of may partake of the wolf, the river, the stone in the river”</w:t>
      </w:r>
      <w:r>
        <w:rPr>
          <w:rFonts w:ascii="Times New Roman" w:hAnsi="Times New Roman"/>
          <w:kern w:val="0"/>
          <w:sz w:val="24"/>
          <w:szCs w:val="24"/>
        </w:rPr>
        <w:t xml:space="preserve"> (Hurley, 1998: ii-iii).</w:t>
      </w:r>
      <w:r w:rsidRPr="00985103">
        <w:rPr>
          <w:rFonts w:ascii="Times New Roman" w:hAnsi="Times New Roman"/>
          <w:kern w:val="0"/>
          <w:sz w:val="24"/>
          <w:szCs w:val="24"/>
        </w:rPr>
        <w:t xml:space="preserve"> </w:t>
      </w:r>
      <w:r>
        <w:rPr>
          <w:rFonts w:ascii="Times New Roman" w:hAnsi="Times New Roman"/>
          <w:kern w:val="0"/>
          <w:sz w:val="24"/>
          <w:szCs w:val="24"/>
        </w:rPr>
        <w:t xml:space="preserve">The idea of becoming-plant is an idea </w:t>
      </w:r>
      <w:r>
        <w:rPr>
          <w:rFonts w:ascii="Times New Roman" w:hAnsi="Times New Roman"/>
          <w:i/>
          <w:kern w:val="0"/>
          <w:sz w:val="24"/>
          <w:szCs w:val="24"/>
        </w:rPr>
        <w:t>within us</w:t>
      </w:r>
      <w:r>
        <w:rPr>
          <w:rFonts w:ascii="Times New Roman" w:hAnsi="Times New Roman"/>
          <w:kern w:val="0"/>
          <w:sz w:val="24"/>
          <w:szCs w:val="24"/>
        </w:rPr>
        <w:t xml:space="preserve">, composing us because becoming-plant happens. “No idea can exist unless the thing also exists,” but in turn “There is no thing of which there is not an idea in the thinking thing…” (Deleuze, 1992:116). </w:t>
      </w:r>
      <w:r w:rsidRPr="00985103">
        <w:rPr>
          <w:rFonts w:ascii="Times New Roman" w:hAnsi="Times New Roman"/>
          <w:kern w:val="0"/>
          <w:sz w:val="24"/>
          <w:szCs w:val="24"/>
        </w:rPr>
        <w:t xml:space="preserve">Becoming-plant is a unique becoming, a unique field of forces </w:t>
      </w:r>
      <w:r w:rsidRPr="00985103">
        <w:rPr>
          <w:rFonts w:ascii="Times New Roman" w:hAnsi="Times New Roman"/>
          <w:i/>
          <w:kern w:val="0"/>
          <w:sz w:val="24"/>
          <w:szCs w:val="24"/>
        </w:rPr>
        <w:t>qua</w:t>
      </w:r>
      <w:r w:rsidRPr="00985103">
        <w:rPr>
          <w:rFonts w:ascii="Times New Roman" w:hAnsi="Times New Roman"/>
          <w:kern w:val="0"/>
          <w:sz w:val="24"/>
          <w:szCs w:val="24"/>
        </w:rPr>
        <w:t xml:space="preserve"> </w:t>
      </w:r>
      <w:r>
        <w:rPr>
          <w:rFonts w:ascii="Times New Roman" w:hAnsi="Times New Roman"/>
          <w:kern w:val="0"/>
          <w:sz w:val="24"/>
          <w:szCs w:val="24"/>
        </w:rPr>
        <w:t>idea and</w:t>
      </w:r>
      <w:r w:rsidRPr="00985103">
        <w:rPr>
          <w:rFonts w:ascii="Times New Roman" w:hAnsi="Times New Roman"/>
          <w:kern w:val="0"/>
          <w:sz w:val="24"/>
          <w:szCs w:val="24"/>
        </w:rPr>
        <w:t xml:space="preserve"> </w:t>
      </w:r>
      <w:r w:rsidRPr="00985103">
        <w:rPr>
          <w:rFonts w:ascii="Times New Roman" w:hAnsi="Times New Roman"/>
          <w:i/>
          <w:kern w:val="0"/>
          <w:sz w:val="24"/>
          <w:szCs w:val="24"/>
        </w:rPr>
        <w:t>qua</w:t>
      </w:r>
      <w:r w:rsidRPr="00985103">
        <w:rPr>
          <w:rFonts w:ascii="Times New Roman" w:hAnsi="Times New Roman"/>
          <w:kern w:val="0"/>
          <w:sz w:val="24"/>
          <w:szCs w:val="24"/>
        </w:rPr>
        <w:t xml:space="preserve"> thing</w:t>
      </w:r>
      <w:r>
        <w:rPr>
          <w:rFonts w:ascii="Times New Roman" w:hAnsi="Times New Roman"/>
          <w:kern w:val="0"/>
          <w:sz w:val="24"/>
          <w:szCs w:val="24"/>
        </w:rPr>
        <w:t xml:space="preserve">. “There are thus as many ideas as there are things, each thing being the object of an idea” (116).  </w:t>
      </w:r>
      <w:r w:rsidRPr="00985103">
        <w:rPr>
          <w:rFonts w:ascii="Times New Roman" w:hAnsi="Times New Roman"/>
          <w:kern w:val="0"/>
          <w:sz w:val="24"/>
          <w:szCs w:val="24"/>
        </w:rPr>
        <w:t xml:space="preserve">Thinking plant-becomings </w:t>
      </w:r>
      <w:r>
        <w:rPr>
          <w:rFonts w:ascii="Times New Roman" w:hAnsi="Times New Roman"/>
          <w:kern w:val="0"/>
          <w:sz w:val="24"/>
          <w:szCs w:val="24"/>
        </w:rPr>
        <w:t xml:space="preserve">through the subject of plant signaling </w:t>
      </w:r>
      <w:r w:rsidRPr="00985103">
        <w:rPr>
          <w:rFonts w:ascii="Times New Roman" w:hAnsi="Times New Roman"/>
          <w:kern w:val="0"/>
          <w:sz w:val="24"/>
          <w:szCs w:val="24"/>
        </w:rPr>
        <w:t xml:space="preserve">loosens the grip of the tyranny of form and function. It also loosens the tyranny of the narratives including the tendency to conceive of lower functions as if in the service of higher ones and the tendency to think of distant things as in the service of proximate ones. </w:t>
      </w:r>
    </w:p>
    <w:p w:rsidR="002D463E"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Pr>
          <w:rFonts w:ascii="Times New Roman" w:hAnsi="Times New Roman"/>
          <w:sz w:val="24"/>
          <w:szCs w:val="24"/>
        </w:rPr>
        <w:t xml:space="preserve">One last confession: </w:t>
      </w:r>
      <w:r w:rsidRPr="00985103">
        <w:rPr>
          <w:rFonts w:ascii="Times New Roman" w:hAnsi="Times New Roman"/>
          <w:sz w:val="24"/>
          <w:szCs w:val="24"/>
        </w:rPr>
        <w:t>I don’t</w:t>
      </w:r>
      <w:r>
        <w:rPr>
          <w:rFonts w:ascii="Times New Roman" w:hAnsi="Times New Roman"/>
          <w:sz w:val="24"/>
          <w:szCs w:val="24"/>
        </w:rPr>
        <w:t xml:space="preserve"> really</w:t>
      </w:r>
      <w:r w:rsidRPr="00985103">
        <w:rPr>
          <w:rFonts w:ascii="Times New Roman" w:hAnsi="Times New Roman"/>
          <w:sz w:val="24"/>
          <w:szCs w:val="24"/>
        </w:rPr>
        <w:t xml:space="preserve"> </w:t>
      </w:r>
      <w:r w:rsidRPr="00985103">
        <w:rPr>
          <w:rFonts w:ascii="Times New Roman" w:hAnsi="Times New Roman"/>
          <w:i/>
          <w:sz w:val="24"/>
          <w:szCs w:val="24"/>
        </w:rPr>
        <w:t>love</w:t>
      </w:r>
      <w:r w:rsidRPr="00985103">
        <w:rPr>
          <w:rFonts w:ascii="Times New Roman" w:hAnsi="Times New Roman"/>
          <w:sz w:val="24"/>
          <w:szCs w:val="24"/>
        </w:rPr>
        <w:t xml:space="preserve"> </w:t>
      </w:r>
      <w:r>
        <w:rPr>
          <w:rFonts w:ascii="Times New Roman" w:hAnsi="Times New Roman"/>
          <w:sz w:val="24"/>
          <w:szCs w:val="24"/>
        </w:rPr>
        <w:t>plants</w:t>
      </w:r>
      <w:r w:rsidRPr="00985103">
        <w:rPr>
          <w:rFonts w:ascii="Times New Roman" w:hAnsi="Times New Roman"/>
          <w:sz w:val="24"/>
          <w:szCs w:val="24"/>
        </w:rPr>
        <w:t xml:space="preserve">. I love philosophy. </w:t>
      </w:r>
      <w:r>
        <w:rPr>
          <w:rFonts w:ascii="Times New Roman" w:hAnsi="Times New Roman"/>
          <w:sz w:val="24"/>
          <w:szCs w:val="24"/>
        </w:rPr>
        <w:t>Thinking plant-becoming has</w:t>
      </w:r>
      <w:r w:rsidRPr="00985103">
        <w:rPr>
          <w:rFonts w:ascii="Times New Roman" w:hAnsi="Times New Roman"/>
          <w:kern w:val="0"/>
          <w:sz w:val="24"/>
          <w:szCs w:val="24"/>
        </w:rPr>
        <w:t xml:space="preserve"> massive polit</w:t>
      </w:r>
      <w:r>
        <w:rPr>
          <w:rFonts w:ascii="Times New Roman" w:hAnsi="Times New Roman"/>
          <w:kern w:val="0"/>
          <w:sz w:val="24"/>
          <w:szCs w:val="24"/>
        </w:rPr>
        <w:t>ical and ethical implications—at the level of new concepts and new actions—which I can only gesture to here obliquely, counting on the unholy power of the indirect. For one, plant-becoming</w:t>
      </w:r>
      <w:r w:rsidRPr="00985103">
        <w:rPr>
          <w:rFonts w:ascii="Times New Roman" w:hAnsi="Times New Roman"/>
          <w:kern w:val="0"/>
          <w:sz w:val="24"/>
          <w:szCs w:val="24"/>
        </w:rPr>
        <w:t xml:space="preserve"> opens up thinking about relations as transient alliances rather than strategies. It credits the accomplishment of identity and intimacy as a</w:t>
      </w:r>
      <w:r w:rsidRPr="00985103">
        <w:rPr>
          <w:rFonts w:ascii="Times New Roman" w:hAnsi="Times New Roman"/>
          <w:i/>
          <w:kern w:val="0"/>
          <w:sz w:val="24"/>
          <w:szCs w:val="24"/>
        </w:rPr>
        <w:t xml:space="preserve"> radically collective achievement, </w:t>
      </w:r>
      <w:r w:rsidRPr="00985103">
        <w:rPr>
          <w:rFonts w:ascii="Times New Roman" w:hAnsi="Times New Roman"/>
          <w:kern w:val="0"/>
          <w:sz w:val="24"/>
          <w:szCs w:val="24"/>
        </w:rPr>
        <w:t xml:space="preserve">crossing faculties, bodies, phyla and even the most basic cut we so confidently declare: the organic and the inorganic. </w:t>
      </w:r>
      <w:r>
        <w:rPr>
          <w:rFonts w:ascii="Times New Roman" w:hAnsi="Times New Roman"/>
          <w:kern w:val="0"/>
          <w:sz w:val="24"/>
          <w:szCs w:val="24"/>
        </w:rPr>
        <w:t xml:space="preserve">Plant-becoming also radically </w:t>
      </w:r>
      <w:r w:rsidRPr="00985103">
        <w:rPr>
          <w:rFonts w:ascii="Times New Roman" w:hAnsi="Times New Roman"/>
          <w:kern w:val="0"/>
          <w:sz w:val="24"/>
          <w:szCs w:val="24"/>
        </w:rPr>
        <w:t>re-</w:t>
      </w:r>
      <w:r>
        <w:rPr>
          <w:rFonts w:ascii="Times New Roman" w:hAnsi="Times New Roman"/>
          <w:kern w:val="0"/>
          <w:sz w:val="24"/>
          <w:szCs w:val="24"/>
        </w:rPr>
        <w:t>imagines L</w:t>
      </w:r>
      <w:r w:rsidRPr="00985103">
        <w:rPr>
          <w:rFonts w:ascii="Times New Roman" w:hAnsi="Times New Roman"/>
          <w:kern w:val="0"/>
          <w:sz w:val="24"/>
          <w:szCs w:val="24"/>
        </w:rPr>
        <w:t xml:space="preserve">ife as that which can </w:t>
      </w:r>
      <w:r>
        <w:rPr>
          <w:rFonts w:ascii="Times New Roman" w:hAnsi="Times New Roman"/>
          <w:kern w:val="0"/>
          <w:sz w:val="24"/>
          <w:szCs w:val="24"/>
        </w:rPr>
        <w:t>be accomplished</w:t>
      </w:r>
      <w:r w:rsidRPr="00985103">
        <w:rPr>
          <w:rFonts w:ascii="Times New Roman" w:hAnsi="Times New Roman"/>
          <w:kern w:val="0"/>
          <w:sz w:val="24"/>
          <w:szCs w:val="24"/>
        </w:rPr>
        <w:t xml:space="preserve"> not w</w:t>
      </w:r>
      <w:r>
        <w:rPr>
          <w:rFonts w:ascii="Times New Roman" w:hAnsi="Times New Roman"/>
          <w:kern w:val="0"/>
          <w:sz w:val="24"/>
          <w:szCs w:val="24"/>
        </w:rPr>
        <w:t>ithin a successfully-</w:t>
      </w:r>
      <w:r w:rsidRPr="00985103">
        <w:rPr>
          <w:rFonts w:ascii="Times New Roman" w:hAnsi="Times New Roman"/>
          <w:kern w:val="0"/>
          <w:sz w:val="24"/>
          <w:szCs w:val="24"/>
        </w:rPr>
        <w:t>managed organic enca</w:t>
      </w:r>
      <w:r>
        <w:rPr>
          <w:rFonts w:ascii="Times New Roman" w:hAnsi="Times New Roman"/>
          <w:kern w:val="0"/>
          <w:sz w:val="24"/>
          <w:szCs w:val="24"/>
        </w:rPr>
        <w:t>sement of what a thing is (its b</w:t>
      </w:r>
      <w:r w:rsidRPr="00985103">
        <w:rPr>
          <w:rFonts w:ascii="Times New Roman" w:hAnsi="Times New Roman"/>
          <w:kern w:val="0"/>
          <w:sz w:val="24"/>
          <w:szCs w:val="24"/>
        </w:rPr>
        <w:t xml:space="preserve">eing, </w:t>
      </w:r>
      <w:r>
        <w:rPr>
          <w:rFonts w:ascii="Times New Roman" w:hAnsi="Times New Roman"/>
          <w:kern w:val="0"/>
          <w:sz w:val="24"/>
          <w:szCs w:val="24"/>
        </w:rPr>
        <w:t xml:space="preserve">its teloi, </w:t>
      </w:r>
      <w:r w:rsidRPr="00985103">
        <w:rPr>
          <w:rFonts w:ascii="Times New Roman" w:hAnsi="Times New Roman"/>
          <w:kern w:val="0"/>
          <w:sz w:val="24"/>
          <w:szCs w:val="24"/>
        </w:rPr>
        <w:t>its progeny) but</w:t>
      </w:r>
      <w:r>
        <w:rPr>
          <w:rFonts w:ascii="Times New Roman" w:hAnsi="Times New Roman"/>
          <w:kern w:val="0"/>
          <w:sz w:val="24"/>
          <w:szCs w:val="24"/>
        </w:rPr>
        <w:t>,</w:t>
      </w:r>
      <w:r w:rsidRPr="00985103">
        <w:rPr>
          <w:rFonts w:ascii="Times New Roman" w:hAnsi="Times New Roman"/>
          <w:kern w:val="0"/>
          <w:sz w:val="24"/>
          <w:szCs w:val="24"/>
        </w:rPr>
        <w:t xml:space="preserve"> as that which can happen by virtue of </w:t>
      </w:r>
      <w:r w:rsidRPr="00985103">
        <w:rPr>
          <w:rFonts w:ascii="Times New Roman" w:hAnsi="Times New Roman"/>
          <w:i/>
          <w:kern w:val="0"/>
          <w:sz w:val="24"/>
          <w:szCs w:val="24"/>
        </w:rPr>
        <w:t>a certain unfaithful power of connectivity.</w:t>
      </w:r>
      <w:r w:rsidRPr="00985103">
        <w:rPr>
          <w:rFonts w:ascii="Times New Roman" w:hAnsi="Times New Roman"/>
          <w:kern w:val="0"/>
          <w:sz w:val="24"/>
          <w:szCs w:val="24"/>
        </w:rPr>
        <w:t xml:space="preserve"> </w:t>
      </w:r>
    </w:p>
    <w:p w:rsidR="002D463E"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Aristotle’s philosophical botany offers a very good tip. In </w:t>
      </w:r>
      <w:r w:rsidRPr="00DF4C28">
        <w:rPr>
          <w:rFonts w:ascii="Times New Roman" w:hAnsi="Times New Roman"/>
          <w:i/>
          <w:kern w:val="0"/>
          <w:sz w:val="24"/>
          <w:szCs w:val="24"/>
        </w:rPr>
        <w:t>On the Generation of Animals</w:t>
      </w:r>
      <w:r>
        <w:rPr>
          <w:rFonts w:ascii="Times New Roman" w:hAnsi="Times New Roman"/>
          <w:kern w:val="0"/>
          <w:sz w:val="24"/>
          <w:szCs w:val="24"/>
        </w:rPr>
        <w:t xml:space="preserve"> he advises, “…when it is necessary for [the animal] to accomplish in function of that which has life, it unites and copulates, becoming like a plant…” (1986: GA II C23 731b5).  Vegetality </w:t>
      </w:r>
      <w:r w:rsidRPr="00985103">
        <w:rPr>
          <w:rFonts w:ascii="Times New Roman" w:hAnsi="Times New Roman"/>
          <w:kern w:val="0"/>
          <w:sz w:val="24"/>
          <w:szCs w:val="24"/>
        </w:rPr>
        <w:t>express</w:t>
      </w:r>
      <w:r>
        <w:rPr>
          <w:rFonts w:ascii="Times New Roman" w:hAnsi="Times New Roman"/>
          <w:kern w:val="0"/>
          <w:sz w:val="24"/>
          <w:szCs w:val="24"/>
        </w:rPr>
        <w:t>es</w:t>
      </w:r>
      <w:r w:rsidRPr="00985103">
        <w:rPr>
          <w:rFonts w:ascii="Times New Roman" w:hAnsi="Times New Roman"/>
          <w:kern w:val="0"/>
          <w:sz w:val="24"/>
          <w:szCs w:val="24"/>
        </w:rPr>
        <w:t xml:space="preserve"> </w:t>
      </w:r>
      <w:r>
        <w:rPr>
          <w:rFonts w:ascii="Times New Roman" w:hAnsi="Times New Roman"/>
          <w:kern w:val="0"/>
          <w:sz w:val="24"/>
          <w:szCs w:val="24"/>
        </w:rPr>
        <w:t xml:space="preserve">and supports </w:t>
      </w:r>
      <w:r w:rsidRPr="00985103">
        <w:rPr>
          <w:rFonts w:ascii="Times New Roman" w:hAnsi="Times New Roman"/>
          <w:kern w:val="0"/>
          <w:sz w:val="24"/>
          <w:szCs w:val="24"/>
        </w:rPr>
        <w:t xml:space="preserve">the unthinkably complex web which holds together what things are, what they are trying to become, and what they </w:t>
      </w:r>
      <w:r>
        <w:rPr>
          <w:rFonts w:ascii="Times New Roman" w:hAnsi="Times New Roman"/>
          <w:kern w:val="0"/>
          <w:sz w:val="24"/>
          <w:szCs w:val="24"/>
        </w:rPr>
        <w:t>need the support of all the rest to</w:t>
      </w:r>
      <w:r w:rsidRPr="00985103">
        <w:rPr>
          <w:rFonts w:ascii="Times New Roman" w:hAnsi="Times New Roman"/>
          <w:kern w:val="0"/>
          <w:sz w:val="24"/>
          <w:szCs w:val="24"/>
        </w:rPr>
        <w:t xml:space="preserve"> unbecome.</w:t>
      </w:r>
      <w:r>
        <w:rPr>
          <w:rStyle w:val="FootnoteReference"/>
          <w:rFonts w:eastAsia="MS Mincho"/>
          <w:kern w:val="0"/>
          <w:szCs w:val="24"/>
        </w:rPr>
        <w:footnoteReference w:id="29"/>
      </w:r>
      <w:r>
        <w:rPr>
          <w:rFonts w:ascii="Times New Roman" w:hAnsi="Times New Roman"/>
          <w:kern w:val="0"/>
          <w:sz w:val="24"/>
          <w:szCs w:val="24"/>
        </w:rPr>
        <w:t xml:space="preserve"> What needs </w:t>
      </w:r>
      <w:r w:rsidRPr="00E847B2">
        <w:rPr>
          <w:rFonts w:ascii="Times New Roman" w:hAnsi="Times New Roman"/>
          <w:i/>
          <w:kern w:val="0"/>
          <w:sz w:val="24"/>
          <w:szCs w:val="24"/>
        </w:rPr>
        <w:t>unbecoming</w:t>
      </w:r>
      <w:r>
        <w:rPr>
          <w:rFonts w:ascii="Times New Roman" w:hAnsi="Times New Roman"/>
          <w:kern w:val="0"/>
          <w:sz w:val="24"/>
          <w:szCs w:val="24"/>
        </w:rPr>
        <w:t xml:space="preserve">? Among other things our terrible somatic and mental habits: our animality stereotypies. </w:t>
      </w:r>
      <w:r w:rsidRPr="00985103">
        <w:rPr>
          <w:rFonts w:ascii="Times New Roman" w:hAnsi="Times New Roman"/>
          <w:kern w:val="0"/>
          <w:sz w:val="24"/>
          <w:szCs w:val="24"/>
        </w:rPr>
        <w:t>Becoming-plant a</w:t>
      </w:r>
      <w:r>
        <w:rPr>
          <w:rFonts w:ascii="Times New Roman" w:hAnsi="Times New Roman"/>
          <w:kern w:val="0"/>
          <w:sz w:val="24"/>
          <w:szCs w:val="24"/>
        </w:rPr>
        <w:t>s a labour</w:t>
      </w:r>
      <w:r w:rsidRPr="00985103">
        <w:rPr>
          <w:rFonts w:ascii="Times New Roman" w:hAnsi="Times New Roman"/>
          <w:kern w:val="0"/>
          <w:sz w:val="24"/>
          <w:szCs w:val="24"/>
        </w:rPr>
        <w:t xml:space="preserve"> of</w:t>
      </w:r>
      <w:r>
        <w:rPr>
          <w:rFonts w:ascii="Times New Roman" w:hAnsi="Times New Roman"/>
          <w:kern w:val="0"/>
          <w:sz w:val="24"/>
          <w:szCs w:val="24"/>
        </w:rPr>
        <w:t>, and for,</w:t>
      </w:r>
      <w:r w:rsidRPr="00985103">
        <w:rPr>
          <w:rFonts w:ascii="Times New Roman" w:hAnsi="Times New Roman"/>
          <w:kern w:val="0"/>
          <w:sz w:val="24"/>
          <w:szCs w:val="24"/>
        </w:rPr>
        <w:t xml:space="preserve"> </w:t>
      </w:r>
      <w:r>
        <w:rPr>
          <w:rFonts w:ascii="Times New Roman" w:hAnsi="Times New Roman"/>
          <w:kern w:val="0"/>
          <w:sz w:val="24"/>
          <w:szCs w:val="24"/>
        </w:rPr>
        <w:t>unbecoming a certain tendency in human thinking and human action,</w:t>
      </w:r>
      <w:r w:rsidRPr="00985103">
        <w:rPr>
          <w:rFonts w:ascii="Times New Roman" w:hAnsi="Times New Roman"/>
          <w:kern w:val="0"/>
          <w:sz w:val="24"/>
          <w:szCs w:val="24"/>
        </w:rPr>
        <w:t xml:space="preserve"> </w:t>
      </w:r>
      <w:r w:rsidRPr="00DD649E">
        <w:rPr>
          <w:rFonts w:ascii="Times New Roman" w:hAnsi="Times New Roman"/>
          <w:kern w:val="0"/>
          <w:sz w:val="24"/>
          <w:szCs w:val="24"/>
        </w:rPr>
        <w:t>emits particles of that unfaithful</w:t>
      </w:r>
      <w:r>
        <w:rPr>
          <w:rFonts w:ascii="Times New Roman" w:hAnsi="Times New Roman"/>
          <w:kern w:val="0"/>
          <w:sz w:val="24"/>
          <w:szCs w:val="24"/>
        </w:rPr>
        <w:t xml:space="preserve">, massive, </w:t>
      </w:r>
      <w:r w:rsidRPr="00DD649E">
        <w:rPr>
          <w:rFonts w:ascii="Times New Roman" w:hAnsi="Times New Roman"/>
          <w:kern w:val="0"/>
          <w:sz w:val="24"/>
          <w:szCs w:val="24"/>
        </w:rPr>
        <w:t xml:space="preserve">power of connectivity. </w:t>
      </w:r>
    </w:p>
    <w:p w:rsidR="002D463E" w:rsidRDefault="002D463E" w:rsidP="002D463E">
      <w:pPr>
        <w:pStyle w:val="InsideAddress"/>
        <w:spacing w:line="360" w:lineRule="auto"/>
        <w:rPr>
          <w:rFonts w:ascii="Times New Roman" w:hAnsi="Times New Roman"/>
          <w:kern w:val="0"/>
          <w:sz w:val="24"/>
          <w:szCs w:val="24"/>
        </w:rPr>
      </w:pPr>
    </w:p>
    <w:p w:rsidR="002D463E" w:rsidRDefault="002D463E" w:rsidP="002D463E">
      <w:pPr>
        <w:pStyle w:val="InsideAddress"/>
        <w:spacing w:line="360" w:lineRule="auto"/>
        <w:rPr>
          <w:rFonts w:ascii="Times New Roman" w:hAnsi="Times New Roman"/>
          <w:kern w:val="0"/>
          <w:sz w:val="24"/>
          <w:szCs w:val="24"/>
        </w:rPr>
      </w:pPr>
      <w:r>
        <w:rPr>
          <w:rFonts w:ascii="Times New Roman" w:hAnsi="Times New Roman"/>
          <w:kern w:val="0"/>
          <w:sz w:val="24"/>
          <w:szCs w:val="24"/>
        </w:rPr>
        <w:t xml:space="preserve">Irigaray answers the circling canine interlocutors: </w:t>
      </w:r>
      <w:r w:rsidRPr="00DF4C28">
        <w:rPr>
          <w:rFonts w:ascii="Times New Roman" w:hAnsi="Times New Roman"/>
          <w:sz w:val="24"/>
          <w:szCs w:val="24"/>
        </w:rPr>
        <w:t>“</w:t>
      </w:r>
      <w:r w:rsidRPr="00985103">
        <w:rPr>
          <w:rFonts w:ascii="Times New Roman" w:hAnsi="Times New Roman"/>
          <w:i/>
          <w:sz w:val="24"/>
          <w:szCs w:val="24"/>
        </w:rPr>
        <w:t>How can I abandon my love of the vegetal? Would you become plant? Or are you too attached to yourself to become anything at all?</w:t>
      </w:r>
      <w:r w:rsidRPr="00DF4C28">
        <w:rPr>
          <w:rFonts w:ascii="Times New Roman" w:hAnsi="Times New Roman"/>
          <w:sz w:val="24"/>
          <w:szCs w:val="24"/>
        </w:rPr>
        <w:t>”</w:t>
      </w:r>
      <w:r>
        <w:rPr>
          <w:rFonts w:ascii="Times New Roman" w:hAnsi="Times New Roman"/>
          <w:sz w:val="24"/>
          <w:szCs w:val="24"/>
        </w:rPr>
        <w:t xml:space="preserve"> (1992: 33).</w:t>
      </w:r>
      <w:r>
        <w:rPr>
          <w:rFonts w:ascii="Times New Roman" w:hAnsi="Times New Roman"/>
          <w:i/>
          <w:sz w:val="24"/>
          <w:szCs w:val="24"/>
        </w:rPr>
        <w:t xml:space="preserve"> </w:t>
      </w:r>
    </w:p>
    <w:p w:rsidR="002D463E" w:rsidRDefault="002D463E" w:rsidP="002D463E">
      <w:pPr>
        <w:pStyle w:val="Default"/>
        <w:jc w:val="both"/>
        <w:rPr>
          <w:b/>
          <w:bCs/>
        </w:rPr>
      </w:pPr>
    </w:p>
    <w:p w:rsidR="002D463E" w:rsidRDefault="002D463E" w:rsidP="002D463E">
      <w:pPr>
        <w:pStyle w:val="Default"/>
        <w:jc w:val="both"/>
        <w:rPr>
          <w:b/>
          <w:bCs/>
        </w:rPr>
      </w:pPr>
    </w:p>
    <w:p w:rsidR="002D463E" w:rsidRDefault="002D463E" w:rsidP="002D463E">
      <w:pPr>
        <w:pStyle w:val="Default"/>
        <w:jc w:val="both"/>
        <w:rPr>
          <w:b/>
          <w:bCs/>
        </w:rPr>
      </w:pPr>
    </w:p>
    <w:p w:rsidR="002D463E" w:rsidRDefault="002D463E" w:rsidP="00E35253">
      <w:pPr>
        <w:pStyle w:val="Heading3"/>
      </w:pPr>
      <w:r>
        <w:t xml:space="preserve">References </w:t>
      </w:r>
    </w:p>
    <w:p w:rsidR="002D463E" w:rsidRDefault="002D463E" w:rsidP="002D463E">
      <w:pPr>
        <w:pStyle w:val="Default"/>
        <w:jc w:val="both"/>
      </w:pPr>
    </w:p>
    <w:p w:rsidR="002D463E" w:rsidRPr="0001195D" w:rsidRDefault="002D463E" w:rsidP="000220DD">
      <w:pPr>
        <w:pStyle w:val="References"/>
      </w:pPr>
      <w:r>
        <w:t xml:space="preserve">Aristotle (1986), </w:t>
      </w:r>
      <w:r>
        <w:rPr>
          <w:i/>
        </w:rPr>
        <w:t xml:space="preserve">The Complete Works of Aristotle: The Revised </w:t>
      </w:r>
      <w:smartTag w:uri="urn:schemas-microsoft-com:office:smarttags" w:element="City">
        <w:r>
          <w:rPr>
            <w:i/>
          </w:rPr>
          <w:t>Oxford</w:t>
        </w:r>
      </w:smartTag>
      <w:r>
        <w:rPr>
          <w:i/>
        </w:rPr>
        <w:t xml:space="preserve"> Translation </w:t>
      </w:r>
      <w:r w:rsidRPr="001B7291">
        <w:rPr>
          <w:i/>
        </w:rPr>
        <w:t>2</w:t>
      </w:r>
      <w:r>
        <w:rPr>
          <w:i/>
        </w:rPr>
        <w:t xml:space="preserve"> Volumes</w:t>
      </w:r>
      <w:r>
        <w:t xml:space="preserve">, Barnes, J. (Ed.), </w:t>
      </w:r>
      <w:smartTag w:uri="urn:schemas-microsoft-com:office:smarttags" w:element="PlaceName">
        <w:r>
          <w:t>Princeton</w:t>
        </w:r>
      </w:smartTag>
      <w:r>
        <w:t xml:space="preserve"> </w:t>
      </w:r>
      <w:smartTag w:uri="urn:schemas-microsoft-com:office:smarttags" w:element="PlaceType">
        <w:r>
          <w:t>University</w:t>
        </w:r>
      </w:smartTag>
      <w:r>
        <w:t xml:space="preserve"> Press: </w:t>
      </w:r>
      <w:smartTag w:uri="urn:schemas-microsoft-com:office:smarttags" w:element="place">
        <w:r>
          <w:t>Princeton</w:t>
        </w:r>
      </w:smartTag>
      <w:r>
        <w:t xml:space="preserve">. </w:t>
      </w:r>
    </w:p>
    <w:p w:rsidR="002D463E" w:rsidRDefault="002D463E" w:rsidP="000220DD">
      <w:pPr>
        <w:pStyle w:val="References"/>
      </w:pPr>
    </w:p>
    <w:p w:rsidR="002D463E" w:rsidRDefault="002D463E" w:rsidP="000220DD">
      <w:pPr>
        <w:pStyle w:val="References"/>
      </w:pPr>
      <w:r>
        <w:t xml:space="preserve">Bataille, G. (1992), </w:t>
      </w:r>
      <w:r>
        <w:rPr>
          <w:i/>
        </w:rPr>
        <w:t>Theory of Religion</w:t>
      </w:r>
      <w:r>
        <w:t xml:space="preserve">, translated by Robert Hurley, Zone: </w:t>
      </w:r>
      <w:smartTag w:uri="urn:schemas-microsoft-com:office:smarttags" w:element="State">
        <w:smartTag w:uri="urn:schemas-microsoft-com:office:smarttags" w:element="place">
          <w:r>
            <w:t>New York</w:t>
          </w:r>
        </w:smartTag>
      </w:smartTag>
      <w:r>
        <w:t xml:space="preserve">.   </w:t>
      </w:r>
    </w:p>
    <w:p w:rsidR="002D463E" w:rsidRDefault="002D463E" w:rsidP="000220DD">
      <w:pPr>
        <w:pStyle w:val="References"/>
      </w:pPr>
    </w:p>
    <w:p w:rsidR="002D463E" w:rsidRPr="00B444D5" w:rsidRDefault="002D463E" w:rsidP="000220DD">
      <w:pPr>
        <w:pStyle w:val="References"/>
        <w:rPr>
          <w:szCs w:val="24"/>
        </w:rPr>
      </w:pPr>
      <w:r w:rsidRPr="00B444D5">
        <w:rPr>
          <w:szCs w:val="24"/>
        </w:rPr>
        <w:t>Bronstein</w:t>
      </w:r>
      <w:r>
        <w:rPr>
          <w:szCs w:val="24"/>
        </w:rPr>
        <w:t xml:space="preserve">, </w:t>
      </w:r>
      <w:r w:rsidRPr="00B444D5">
        <w:rPr>
          <w:szCs w:val="24"/>
        </w:rPr>
        <w:t>J</w:t>
      </w:r>
      <w:r>
        <w:rPr>
          <w:szCs w:val="24"/>
        </w:rPr>
        <w:t>.</w:t>
      </w:r>
      <w:r w:rsidRPr="00B444D5">
        <w:rPr>
          <w:szCs w:val="24"/>
        </w:rPr>
        <w:t>L</w:t>
      </w:r>
      <w:r>
        <w:rPr>
          <w:szCs w:val="24"/>
        </w:rPr>
        <w:t>.,</w:t>
      </w:r>
      <w:r w:rsidRPr="00B444D5">
        <w:rPr>
          <w:szCs w:val="24"/>
        </w:rPr>
        <w:t xml:space="preserve"> Alarcon</w:t>
      </w:r>
      <w:r>
        <w:rPr>
          <w:szCs w:val="24"/>
        </w:rPr>
        <w:t>,</w:t>
      </w:r>
      <w:r w:rsidRPr="00B444D5">
        <w:rPr>
          <w:szCs w:val="24"/>
        </w:rPr>
        <w:t xml:space="preserve"> R</w:t>
      </w:r>
      <w:r>
        <w:rPr>
          <w:szCs w:val="24"/>
        </w:rPr>
        <w:t>. and</w:t>
      </w:r>
      <w:r w:rsidRPr="00B444D5">
        <w:rPr>
          <w:szCs w:val="24"/>
        </w:rPr>
        <w:t xml:space="preserve"> Geber</w:t>
      </w:r>
      <w:r>
        <w:rPr>
          <w:szCs w:val="24"/>
        </w:rPr>
        <w:t xml:space="preserve">, </w:t>
      </w:r>
      <w:r w:rsidRPr="00B444D5">
        <w:rPr>
          <w:szCs w:val="24"/>
        </w:rPr>
        <w:t>M</w:t>
      </w:r>
      <w:r>
        <w:rPr>
          <w:szCs w:val="24"/>
        </w:rPr>
        <w:t>.</w:t>
      </w:r>
      <w:r w:rsidRPr="00B444D5">
        <w:rPr>
          <w:szCs w:val="24"/>
        </w:rPr>
        <w:t xml:space="preserve"> (2006)</w:t>
      </w:r>
      <w:r>
        <w:rPr>
          <w:szCs w:val="24"/>
        </w:rPr>
        <w:t>,</w:t>
      </w:r>
      <w:r w:rsidRPr="00B444D5">
        <w:rPr>
          <w:szCs w:val="24"/>
        </w:rPr>
        <w:t xml:space="preserve"> </w:t>
      </w:r>
      <w:r>
        <w:rPr>
          <w:szCs w:val="24"/>
        </w:rPr>
        <w:t>“The Evolution of Plant–Insect M</w:t>
      </w:r>
      <w:r w:rsidRPr="00B444D5">
        <w:rPr>
          <w:szCs w:val="24"/>
        </w:rPr>
        <w:t>utualisms</w:t>
      </w:r>
      <w:r>
        <w:rPr>
          <w:szCs w:val="24"/>
        </w:rPr>
        <w:t>”,</w:t>
      </w:r>
      <w:r w:rsidRPr="00B444D5">
        <w:rPr>
          <w:i/>
          <w:szCs w:val="24"/>
        </w:rPr>
        <w:t xml:space="preserve"> New Phyto</w:t>
      </w:r>
      <w:r>
        <w:rPr>
          <w:i/>
          <w:szCs w:val="24"/>
        </w:rPr>
        <w:t>logy</w:t>
      </w:r>
      <w:r>
        <w:rPr>
          <w:szCs w:val="24"/>
        </w:rPr>
        <w:t>,</w:t>
      </w:r>
      <w:r w:rsidRPr="00B444D5">
        <w:rPr>
          <w:szCs w:val="24"/>
        </w:rPr>
        <w:t xml:space="preserve"> 172</w:t>
      </w:r>
      <w:r>
        <w:rPr>
          <w:szCs w:val="24"/>
        </w:rPr>
        <w:t xml:space="preserve">, pp. </w:t>
      </w:r>
      <w:r w:rsidRPr="00B444D5">
        <w:rPr>
          <w:szCs w:val="24"/>
        </w:rPr>
        <w:t>412–428</w:t>
      </w:r>
      <w:r>
        <w:rPr>
          <w:szCs w:val="24"/>
        </w:rPr>
        <w:t>.</w:t>
      </w:r>
    </w:p>
    <w:p w:rsidR="002D463E" w:rsidRDefault="002D463E" w:rsidP="000220DD">
      <w:pPr>
        <w:pStyle w:val="References"/>
      </w:pPr>
    </w:p>
    <w:p w:rsidR="002D463E" w:rsidRPr="0006076E" w:rsidRDefault="002D463E" w:rsidP="000220DD">
      <w:pPr>
        <w:pStyle w:val="References"/>
      </w:pPr>
      <w:r>
        <w:t xml:space="preserve">Cahill, J. Jr. et al., (2010), “Plants Integrate Information About Nutrients and Neighbors”, </w:t>
      </w:r>
      <w:r>
        <w:rPr>
          <w:i/>
        </w:rPr>
        <w:t>Science</w:t>
      </w:r>
      <w:r>
        <w:t xml:space="preserve">, 328, 25, p. 1657. </w:t>
      </w:r>
    </w:p>
    <w:p w:rsidR="002D463E" w:rsidRDefault="002D463E" w:rsidP="000220DD">
      <w:pPr>
        <w:pStyle w:val="References"/>
      </w:pPr>
    </w:p>
    <w:p w:rsidR="002D463E" w:rsidRDefault="002D463E" w:rsidP="000220DD">
      <w:pPr>
        <w:pStyle w:val="References"/>
      </w:pPr>
      <w:r>
        <w:t xml:space="preserve">Calarco, M. (2008), </w:t>
      </w:r>
      <w:r>
        <w:rPr>
          <w:i/>
          <w:iCs/>
        </w:rPr>
        <w:t>Zoographies: The Question of the Animal from Heidegger to Derrida</w:t>
      </w:r>
      <w:r>
        <w:t xml:space="preserve">, </w:t>
      </w:r>
      <w:smartTag w:uri="urn:schemas-microsoft-com:office:smarttags" w:element="PlaceName">
        <w:r>
          <w:t>Columbia</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State">
          <w:r>
            <w:t>New York</w:t>
          </w:r>
        </w:smartTag>
      </w:smartTag>
      <w:r>
        <w:t xml:space="preserve">. </w:t>
      </w:r>
    </w:p>
    <w:p w:rsidR="002D463E" w:rsidRDefault="002D463E" w:rsidP="000220DD">
      <w:pPr>
        <w:pStyle w:val="References"/>
      </w:pPr>
    </w:p>
    <w:p w:rsidR="002D463E" w:rsidRPr="00DD649E" w:rsidRDefault="002D463E" w:rsidP="000220DD">
      <w:pPr>
        <w:pStyle w:val="References"/>
      </w:pPr>
      <w:r>
        <w:t xml:space="preserve">Deleuze, G. (1992), </w:t>
      </w:r>
      <w:r>
        <w:rPr>
          <w:i/>
        </w:rPr>
        <w:t xml:space="preserve">Expressionism in Philosophy: Spinoza. </w:t>
      </w:r>
      <w:r>
        <w:t xml:space="preserve">Zone: </w:t>
      </w:r>
      <w:smartTag w:uri="urn:schemas-microsoft-com:office:smarttags" w:element="State">
        <w:smartTag w:uri="urn:schemas-microsoft-com:office:smarttags" w:element="place">
          <w:r>
            <w:t>New York</w:t>
          </w:r>
        </w:smartTag>
      </w:smartTag>
      <w:r>
        <w:t xml:space="preserve">. </w:t>
      </w:r>
    </w:p>
    <w:p w:rsidR="002D463E" w:rsidRDefault="002D463E" w:rsidP="000220DD">
      <w:pPr>
        <w:pStyle w:val="References"/>
      </w:pPr>
    </w:p>
    <w:p w:rsidR="002D463E" w:rsidRDefault="002D463E" w:rsidP="000220DD">
      <w:pPr>
        <w:pStyle w:val="References"/>
      </w:pPr>
      <w:r>
        <w:t xml:space="preserve">Deleuze, G. and Guattari, F. (1987), </w:t>
      </w:r>
      <w:r>
        <w:rPr>
          <w:i/>
          <w:iCs/>
        </w:rPr>
        <w:t>A Thousand Plateaus: Capitalism and Schizophrenia</w:t>
      </w:r>
      <w:r>
        <w:t xml:space="preserve">, translated by B. Massumi, </w:t>
      </w:r>
      <w:smartTag w:uri="urn:schemas-microsoft-com:office:smarttags" w:element="PlaceType">
        <w:r>
          <w:t>University</w:t>
        </w:r>
      </w:smartTag>
      <w:r>
        <w:t xml:space="preserve"> of </w:t>
      </w:r>
      <w:smartTag w:uri="urn:schemas-microsoft-com:office:smarttags" w:element="PlaceName">
        <w:r>
          <w:t>Minnesota Press</w:t>
        </w:r>
      </w:smartTag>
      <w:r>
        <w:t xml:space="preserve">: </w:t>
      </w:r>
      <w:smartTag w:uri="urn:schemas-microsoft-com:office:smarttags" w:element="City">
        <w:smartTag w:uri="urn:schemas-microsoft-com:office:smarttags" w:element="place">
          <w:r>
            <w:t>Minneapolis</w:t>
          </w:r>
        </w:smartTag>
      </w:smartTag>
      <w:r>
        <w:t xml:space="preserve">. </w:t>
      </w:r>
    </w:p>
    <w:p w:rsidR="002D463E" w:rsidRDefault="002D463E" w:rsidP="000220DD">
      <w:pPr>
        <w:pStyle w:val="References"/>
      </w:pPr>
    </w:p>
    <w:p w:rsidR="002D463E" w:rsidRPr="00897A57" w:rsidRDefault="002D463E" w:rsidP="000220DD">
      <w:pPr>
        <w:pStyle w:val="References"/>
      </w:pPr>
      <w:r w:rsidRPr="00897A57">
        <w:t>Derrida, J. (1991)</w:t>
      </w:r>
      <w:r>
        <w:t>,</w:t>
      </w:r>
      <w:r w:rsidRPr="00897A57">
        <w:t xml:space="preserve"> </w:t>
      </w:r>
      <w:r>
        <w:t>“</w:t>
      </w:r>
      <w:r w:rsidRPr="00897A57">
        <w:t>‘Eating Well</w:t>
      </w:r>
      <w:r w:rsidRPr="00897A57">
        <w:rPr>
          <w:rFonts w:ascii="Lucida Sans Unicode" w:hAnsi="Lucida Sans Unicode" w:cs="Lucida Sans Unicode"/>
        </w:rPr>
        <w:t>’</w:t>
      </w:r>
      <w:r w:rsidRPr="00897A57">
        <w:t xml:space="preserve"> or the Calculation of the Subject: An Interview with Jacques Derrida</w:t>
      </w:r>
      <w:r>
        <w:t>”,</w:t>
      </w:r>
      <w:r w:rsidRPr="00897A57">
        <w:t xml:space="preserve"> </w:t>
      </w:r>
      <w:r>
        <w:t>in Cadava, E., Connor, P. and</w:t>
      </w:r>
      <w:r w:rsidRPr="00897A57">
        <w:t xml:space="preserve"> </w:t>
      </w:r>
      <w:smartTag w:uri="urn:schemas-microsoft-com:office:smarttags" w:element="City">
        <w:smartTag w:uri="urn:schemas-microsoft-com:office:smarttags" w:element="place">
          <w:r w:rsidRPr="00897A57">
            <w:t>Nancy</w:t>
          </w:r>
        </w:smartTag>
      </w:smartTag>
      <w:r w:rsidRPr="00897A57">
        <w:t xml:space="preserve">, J-L. </w:t>
      </w:r>
      <w:r>
        <w:t>(Eds)</w:t>
      </w:r>
      <w:r w:rsidRPr="00897A57">
        <w:t xml:space="preserve"> </w:t>
      </w:r>
      <w:r w:rsidRPr="00897A57">
        <w:rPr>
          <w:i/>
          <w:iCs/>
        </w:rPr>
        <w:t xml:space="preserve">Who Comes after the Subject? </w:t>
      </w:r>
      <w:smartTag w:uri="urn:schemas-microsoft-com:office:smarttags" w:element="place">
        <w:smartTag w:uri="urn:schemas-microsoft-com:office:smarttags" w:element="State">
          <w:r w:rsidRPr="00897A57">
            <w:t>New York</w:t>
          </w:r>
        </w:smartTag>
      </w:smartTag>
      <w:r w:rsidRPr="00897A57">
        <w:t xml:space="preserve">: Routledge, pp. 96-119. </w:t>
      </w:r>
    </w:p>
    <w:p w:rsidR="002D463E" w:rsidRPr="00897A57" w:rsidRDefault="002D463E" w:rsidP="000220DD">
      <w:pPr>
        <w:pStyle w:val="References"/>
      </w:pPr>
    </w:p>
    <w:p w:rsidR="002D463E" w:rsidRPr="00897A57" w:rsidRDefault="002D463E" w:rsidP="000220DD">
      <w:pPr>
        <w:pStyle w:val="References"/>
      </w:pPr>
      <w:r>
        <w:t>---.</w:t>
      </w:r>
      <w:r w:rsidRPr="00897A57">
        <w:t xml:space="preserve"> (2003)</w:t>
      </w:r>
      <w:r>
        <w:t>,</w:t>
      </w:r>
      <w:r w:rsidRPr="00897A57">
        <w:t xml:space="preserve"> </w:t>
      </w:r>
      <w:r>
        <w:t>“</w:t>
      </w:r>
      <w:r w:rsidRPr="00897A57">
        <w:t>And Say the Animal Responded?</w:t>
      </w:r>
      <w:r>
        <w:t>” in Wolfe, C. (E</w:t>
      </w:r>
      <w:r w:rsidRPr="00897A57">
        <w:t>d.</w:t>
      </w:r>
      <w:r>
        <w:t>)</w:t>
      </w:r>
      <w:r w:rsidRPr="00897A57">
        <w:t xml:space="preserve"> </w:t>
      </w:r>
      <w:r w:rsidRPr="00897A57">
        <w:rPr>
          <w:i/>
        </w:rPr>
        <w:t>Zoontologies</w:t>
      </w:r>
      <w:r>
        <w:t xml:space="preserve">, </w:t>
      </w:r>
      <w:smartTag w:uri="urn:schemas-microsoft-com:office:smarttags" w:element="PlaceType">
        <w:r w:rsidRPr="00897A57">
          <w:t>University</w:t>
        </w:r>
      </w:smartTag>
      <w:r w:rsidRPr="00897A57">
        <w:t xml:space="preserve"> of </w:t>
      </w:r>
      <w:smartTag w:uri="urn:schemas-microsoft-com:office:smarttags" w:element="PlaceName">
        <w:r w:rsidRPr="00897A57">
          <w:t>Minnesota</w:t>
        </w:r>
      </w:smartTag>
      <w:r w:rsidRPr="00897A57">
        <w:t xml:space="preserve"> Press</w:t>
      </w:r>
      <w:r>
        <w:t>:</w:t>
      </w:r>
      <w:r w:rsidRPr="00755AF5">
        <w:t xml:space="preserve"> </w:t>
      </w:r>
      <w:smartTag w:uri="urn:schemas-microsoft-com:office:smarttags" w:element="City">
        <w:smartTag w:uri="urn:schemas-microsoft-com:office:smarttags" w:element="place">
          <w:r w:rsidRPr="00897A57">
            <w:t>Minneapolis</w:t>
          </w:r>
        </w:smartTag>
      </w:smartTag>
      <w:r w:rsidRPr="00897A57">
        <w:t>,</w:t>
      </w:r>
      <w:r>
        <w:t xml:space="preserve"> pp.</w:t>
      </w:r>
      <w:r w:rsidRPr="00897A57">
        <w:t xml:space="preserve"> 121-146.</w:t>
      </w:r>
    </w:p>
    <w:p w:rsidR="002D463E" w:rsidRPr="00897A57" w:rsidRDefault="002D463E" w:rsidP="000220DD">
      <w:pPr>
        <w:pStyle w:val="References"/>
      </w:pPr>
    </w:p>
    <w:p w:rsidR="002D463E" w:rsidRDefault="002D463E" w:rsidP="000220DD">
      <w:pPr>
        <w:pStyle w:val="References"/>
      </w:pPr>
      <w:r>
        <w:t>---.</w:t>
      </w:r>
      <w:r w:rsidRPr="00897A57">
        <w:t xml:space="preserve"> (2008)</w:t>
      </w:r>
      <w:r>
        <w:t>,</w:t>
      </w:r>
      <w:r w:rsidRPr="00897A57">
        <w:t xml:space="preserve"> </w:t>
      </w:r>
      <w:r>
        <w:t>“</w:t>
      </w:r>
      <w:r w:rsidRPr="00897A57">
        <w:t>The Animal that Therefore I Am (More to Follow)</w:t>
      </w:r>
      <w:r>
        <w:t>” in</w:t>
      </w:r>
      <w:r w:rsidRPr="00897A57">
        <w:t xml:space="preserve"> </w:t>
      </w:r>
      <w:r>
        <w:t>Mallet, M-L. (E</w:t>
      </w:r>
      <w:r w:rsidRPr="00897A57">
        <w:t>d.</w:t>
      </w:r>
      <w:r>
        <w:t>)</w:t>
      </w:r>
      <w:r w:rsidRPr="00897A57">
        <w:t xml:space="preserve"> </w:t>
      </w:r>
      <w:r w:rsidRPr="00897A57">
        <w:rPr>
          <w:i/>
          <w:iCs/>
        </w:rPr>
        <w:t>The Animal That Therefore I Am</w:t>
      </w:r>
      <w:r>
        <w:t>,</w:t>
      </w:r>
      <w:r w:rsidRPr="00897A57">
        <w:t xml:space="preserve"> </w:t>
      </w:r>
      <w:r>
        <w:t>t</w:t>
      </w:r>
      <w:r w:rsidRPr="00897A57">
        <w:t>rans</w:t>
      </w:r>
      <w:r>
        <w:t xml:space="preserve">lated </w:t>
      </w:r>
      <w:r w:rsidRPr="00897A57">
        <w:t>by D.</w:t>
      </w:r>
      <w:r>
        <w:t xml:space="preserve"> Wills</w:t>
      </w:r>
      <w:r w:rsidRPr="00897A57">
        <w:t xml:space="preserve"> Fordham University Press</w:t>
      </w:r>
      <w:r>
        <w:t>:</w:t>
      </w:r>
      <w:r w:rsidRPr="00897A57">
        <w:t xml:space="preserve"> </w:t>
      </w:r>
      <w:smartTag w:uri="urn:schemas-microsoft-com:office:smarttags" w:element="State">
        <w:smartTag w:uri="urn:schemas-microsoft-com:office:smarttags" w:element="place">
          <w:r w:rsidRPr="00897A57">
            <w:t>New York</w:t>
          </w:r>
        </w:smartTag>
      </w:smartTag>
      <w:r w:rsidRPr="00897A57">
        <w:t>, pp. 1-53.</w:t>
      </w:r>
    </w:p>
    <w:p w:rsidR="002D463E" w:rsidRDefault="002D463E" w:rsidP="000220DD">
      <w:pPr>
        <w:pStyle w:val="References"/>
      </w:pPr>
    </w:p>
    <w:p w:rsidR="002D463E" w:rsidRPr="00DD649E" w:rsidRDefault="002D463E" w:rsidP="000220DD">
      <w:pPr>
        <w:pStyle w:val="References"/>
      </w:pPr>
      <w:r w:rsidRPr="00DD649E">
        <w:t>--</w:t>
      </w:r>
      <w:r>
        <w:t>-.</w:t>
      </w:r>
      <w:r w:rsidRPr="00DD649E">
        <w:t xml:space="preserve"> (2001)</w:t>
      </w:r>
      <w:r>
        <w:t>,</w:t>
      </w:r>
      <w:r w:rsidRPr="00DD649E">
        <w:t xml:space="preserve"> </w:t>
      </w:r>
      <w:r>
        <w:t>“As if it were Possible, ‘within such limits’</w:t>
      </w:r>
      <w:r w:rsidRPr="00DD649E">
        <w:t xml:space="preserve">… </w:t>
      </w:r>
      <w:r>
        <w:t>i</w:t>
      </w:r>
      <w:r w:rsidRPr="00DD649E">
        <w:t>n M</w:t>
      </w:r>
      <w:r>
        <w:t>eyer, M. (Ed.)</w:t>
      </w:r>
      <w:r w:rsidRPr="00DD649E">
        <w:t xml:space="preserve"> </w:t>
      </w:r>
      <w:r w:rsidRPr="0001195D">
        <w:rPr>
          <w:i/>
        </w:rPr>
        <w:t>Questioning Derrida</w:t>
      </w:r>
      <w:r>
        <w:t>,</w:t>
      </w:r>
      <w:r w:rsidRPr="0001195D">
        <w:rPr>
          <w:i/>
        </w:rPr>
        <w:t xml:space="preserve"> </w:t>
      </w:r>
      <w:r w:rsidRPr="00DD649E">
        <w:t>Ashgate</w:t>
      </w:r>
      <w:r>
        <w:t xml:space="preserve">: </w:t>
      </w:r>
      <w:smartTag w:uri="urn:schemas-microsoft-com:office:smarttags" w:element="City">
        <w:smartTag w:uri="urn:schemas-microsoft-com:office:smarttags" w:element="place">
          <w:r>
            <w:t>London</w:t>
          </w:r>
        </w:smartTag>
      </w:smartTag>
      <w:r>
        <w:t>.</w:t>
      </w:r>
      <w:r w:rsidRPr="00DD649E">
        <w:t xml:space="preserve">  </w:t>
      </w:r>
    </w:p>
    <w:p w:rsidR="002D463E" w:rsidRPr="00897A57" w:rsidRDefault="002D463E" w:rsidP="000220DD">
      <w:pPr>
        <w:pStyle w:val="References"/>
      </w:pPr>
    </w:p>
    <w:p w:rsidR="002D463E" w:rsidRDefault="002D463E" w:rsidP="000220DD">
      <w:pPr>
        <w:pStyle w:val="References"/>
      </w:pPr>
      <w:r w:rsidRPr="00897A57">
        <w:t xml:space="preserve">Dewhirst, S. Y. </w:t>
      </w:r>
      <w:r>
        <w:t>and</w:t>
      </w:r>
      <w:r w:rsidRPr="00897A57">
        <w:t xml:space="preserve"> Pickett, J. A. (2010)</w:t>
      </w:r>
      <w:r>
        <w:t>,</w:t>
      </w:r>
      <w:r w:rsidRPr="00897A57">
        <w:t xml:space="preserve"> </w:t>
      </w:r>
      <w:r>
        <w:t>“</w:t>
      </w:r>
      <w:r w:rsidRPr="00897A57">
        <w:t>Pro</w:t>
      </w:r>
      <w:r>
        <w:t>duction of Semiochemical and Allelobiotic Agents as a Consequence of Aphid Feeding”,</w:t>
      </w:r>
      <w:r w:rsidRPr="00897A57">
        <w:t xml:space="preserve">  </w:t>
      </w:r>
      <w:r w:rsidRPr="00897A57">
        <w:rPr>
          <w:i/>
        </w:rPr>
        <w:t>Chemoecology</w:t>
      </w:r>
      <w:r>
        <w:t>,</w:t>
      </w:r>
      <w:r w:rsidRPr="00897A57">
        <w:t xml:space="preserve"> 20, pp. 89-96. </w:t>
      </w:r>
    </w:p>
    <w:p w:rsidR="002D463E" w:rsidRDefault="002D463E" w:rsidP="000220DD">
      <w:pPr>
        <w:pStyle w:val="References"/>
      </w:pPr>
    </w:p>
    <w:p w:rsidR="002D463E" w:rsidRDefault="002D463E" w:rsidP="000220DD">
      <w:pPr>
        <w:pStyle w:val="References"/>
      </w:pPr>
      <w:r>
        <w:t xml:space="preserve">Dicke, M., Agrawal, A. A., and Bruin, J. (2003), “Plants Talk, but are They Deaf?” </w:t>
      </w:r>
      <w:r>
        <w:rPr>
          <w:i/>
        </w:rPr>
        <w:t>Trends in Plant Science</w:t>
      </w:r>
      <w:r>
        <w:t xml:space="preserve">., 8, 9, pp. 403-405. </w:t>
      </w:r>
    </w:p>
    <w:p w:rsidR="002D463E" w:rsidRDefault="002D463E" w:rsidP="000220DD">
      <w:pPr>
        <w:pStyle w:val="References"/>
      </w:pPr>
    </w:p>
    <w:p w:rsidR="002D463E" w:rsidRPr="001F09A3" w:rsidRDefault="002D463E" w:rsidP="000220DD">
      <w:pPr>
        <w:pStyle w:val="References"/>
      </w:pPr>
      <w:r>
        <w:t>Doyle, L. R. (2009), “</w:t>
      </w:r>
      <w:r w:rsidRPr="001F09A3">
        <w:t>Quantification of Information in a One-Way Plant-to-Animal Communication System</w:t>
      </w:r>
      <w:r>
        <w:t>”,</w:t>
      </w:r>
      <w:r w:rsidRPr="001F09A3">
        <w:t xml:space="preserve"> </w:t>
      </w:r>
      <w:r w:rsidRPr="001F09A3">
        <w:rPr>
          <w:rFonts w:cs="TimesNewRomanPS-ItalicMT"/>
          <w:i/>
          <w:iCs/>
        </w:rPr>
        <w:t>Entropy</w:t>
      </w:r>
      <w:r>
        <w:rPr>
          <w:rFonts w:cs="TimesNewRomanPS-ItalicMT"/>
          <w:iCs/>
        </w:rPr>
        <w:t>,</w:t>
      </w:r>
      <w:r w:rsidRPr="001F09A3">
        <w:t xml:space="preserve"> </w:t>
      </w:r>
      <w:r w:rsidRPr="001F09A3">
        <w:rPr>
          <w:rFonts w:cs="TimesNewRomanPS-ItalicMT"/>
          <w:iCs/>
        </w:rPr>
        <w:t>11</w:t>
      </w:r>
      <w:r w:rsidRPr="001F09A3">
        <w:t xml:space="preserve">, </w:t>
      </w:r>
      <w:r>
        <w:t>pp. 431-442.</w:t>
      </w:r>
    </w:p>
    <w:p w:rsidR="002D463E" w:rsidRPr="001F09A3" w:rsidRDefault="002D463E" w:rsidP="000220DD">
      <w:pPr>
        <w:pStyle w:val="References"/>
      </w:pPr>
    </w:p>
    <w:p w:rsidR="002D463E" w:rsidRPr="00897A57" w:rsidRDefault="002D463E" w:rsidP="000220DD">
      <w:pPr>
        <w:pStyle w:val="References"/>
      </w:pPr>
      <w:r w:rsidRPr="00897A57">
        <w:t>Hall, M. (2009)</w:t>
      </w:r>
      <w:r>
        <w:t>,</w:t>
      </w:r>
      <w:r w:rsidRPr="00897A57">
        <w:t xml:space="preserve"> </w:t>
      </w:r>
      <w:r>
        <w:t>“</w:t>
      </w:r>
      <w:r w:rsidRPr="00897A57">
        <w:t>Plant Autonomy and Human-Plant Ethics</w:t>
      </w:r>
      <w:r>
        <w:t>”,</w:t>
      </w:r>
      <w:r w:rsidRPr="00897A57">
        <w:t xml:space="preserve"> </w:t>
      </w:r>
      <w:r w:rsidRPr="00897A57">
        <w:rPr>
          <w:i/>
        </w:rPr>
        <w:t>Environmental Ethics</w:t>
      </w:r>
      <w:r>
        <w:t xml:space="preserve">, 31, 2, </w:t>
      </w:r>
      <w:r w:rsidRPr="00897A57">
        <w:t xml:space="preserve">pp. 169-181. </w:t>
      </w:r>
    </w:p>
    <w:p w:rsidR="002D463E" w:rsidRPr="00897A57" w:rsidRDefault="002D463E" w:rsidP="000220DD">
      <w:pPr>
        <w:pStyle w:val="References"/>
      </w:pPr>
    </w:p>
    <w:p w:rsidR="002D463E" w:rsidRPr="00897A57" w:rsidRDefault="002D463E" w:rsidP="000220DD">
      <w:pPr>
        <w:pStyle w:val="References"/>
      </w:pPr>
      <w:r w:rsidRPr="00897A57">
        <w:t>---</w:t>
      </w:r>
      <w:r>
        <w:t>.</w:t>
      </w:r>
      <w:r w:rsidRPr="00897A57">
        <w:t xml:space="preserve"> (2011)</w:t>
      </w:r>
      <w:r>
        <w:t>,</w:t>
      </w:r>
      <w:r w:rsidRPr="00897A57">
        <w:t xml:space="preserve"> </w:t>
      </w:r>
      <w:r w:rsidRPr="00897A57">
        <w:rPr>
          <w:i/>
        </w:rPr>
        <w:t>Plants as Persons</w:t>
      </w:r>
      <w:r>
        <w:t>,</w:t>
      </w:r>
      <w:r w:rsidRPr="00897A57">
        <w:t xml:space="preserve"> SUNY Press</w:t>
      </w:r>
      <w:r>
        <w:t>:</w:t>
      </w:r>
      <w:r w:rsidRPr="00897A57">
        <w:t xml:space="preserve"> </w:t>
      </w:r>
      <w:smartTag w:uri="urn:schemas-microsoft-com:office:smarttags" w:element="City">
        <w:smartTag w:uri="urn:schemas-microsoft-com:office:smarttags" w:element="place">
          <w:r>
            <w:t>Albany</w:t>
          </w:r>
        </w:smartTag>
      </w:smartTag>
      <w:r w:rsidRPr="00897A57">
        <w:t>.</w:t>
      </w:r>
    </w:p>
    <w:p w:rsidR="002D463E" w:rsidRDefault="002D463E" w:rsidP="000220DD">
      <w:pPr>
        <w:pStyle w:val="References"/>
        <w:rPr>
          <w:sz w:val="22"/>
          <w:szCs w:val="22"/>
        </w:rPr>
      </w:pPr>
    </w:p>
    <w:p w:rsidR="002D463E" w:rsidRPr="00804C01" w:rsidRDefault="002D463E" w:rsidP="000220DD">
      <w:pPr>
        <w:pStyle w:val="References"/>
        <w:rPr>
          <w:szCs w:val="24"/>
        </w:rPr>
      </w:pPr>
      <w:r w:rsidRPr="00B84CDF">
        <w:rPr>
          <w:szCs w:val="24"/>
        </w:rPr>
        <w:t xml:space="preserve">Heidel, A. J. et al., </w:t>
      </w:r>
      <w:r w:rsidRPr="00804C01">
        <w:rPr>
          <w:szCs w:val="24"/>
        </w:rPr>
        <w:t>(2010)</w:t>
      </w:r>
      <w:r>
        <w:rPr>
          <w:szCs w:val="24"/>
        </w:rPr>
        <w:t>,</w:t>
      </w:r>
      <w:r w:rsidRPr="00804C01">
        <w:rPr>
          <w:szCs w:val="24"/>
        </w:rPr>
        <w:t xml:space="preserve"> </w:t>
      </w:r>
      <w:r>
        <w:rPr>
          <w:szCs w:val="24"/>
        </w:rPr>
        <w:t>“Interaction Between Herbivore Defense and Microbial Signaling: Bacterial Quorum-Sensing Compounds Weaken JA-Mediated Herbivore Resistance in Nicotiana A</w:t>
      </w:r>
      <w:r w:rsidRPr="00804C01">
        <w:rPr>
          <w:szCs w:val="24"/>
        </w:rPr>
        <w:t>ttenuate</w:t>
      </w:r>
      <w:r>
        <w:rPr>
          <w:szCs w:val="24"/>
        </w:rPr>
        <w:t>”,</w:t>
      </w:r>
      <w:r w:rsidRPr="00804C01">
        <w:rPr>
          <w:szCs w:val="24"/>
        </w:rPr>
        <w:t xml:space="preserve"> </w:t>
      </w:r>
      <w:r w:rsidRPr="00804C01">
        <w:rPr>
          <w:i/>
          <w:szCs w:val="24"/>
        </w:rPr>
        <w:t>Chemoecology</w:t>
      </w:r>
      <w:r>
        <w:rPr>
          <w:szCs w:val="24"/>
        </w:rPr>
        <w:t xml:space="preserve">, </w:t>
      </w:r>
      <w:r w:rsidRPr="00804C01">
        <w:rPr>
          <w:szCs w:val="24"/>
        </w:rPr>
        <w:t>20</w:t>
      </w:r>
      <w:r>
        <w:rPr>
          <w:szCs w:val="24"/>
        </w:rPr>
        <w:t xml:space="preserve">, pp. </w:t>
      </w:r>
      <w:r w:rsidRPr="00804C01">
        <w:rPr>
          <w:szCs w:val="24"/>
        </w:rPr>
        <w:t>149–154.</w:t>
      </w:r>
    </w:p>
    <w:p w:rsidR="002D463E" w:rsidRDefault="002D463E" w:rsidP="000220DD">
      <w:pPr>
        <w:pStyle w:val="References"/>
        <w:rPr>
          <w:sz w:val="22"/>
          <w:szCs w:val="22"/>
        </w:rPr>
      </w:pPr>
    </w:p>
    <w:p w:rsidR="002D463E" w:rsidRDefault="002D463E" w:rsidP="000220DD">
      <w:pPr>
        <w:pStyle w:val="References"/>
      </w:pPr>
      <w:r>
        <w:t>Heil, M. and  Karban, R. (2009), “</w:t>
      </w:r>
      <w:r w:rsidRPr="0002390F">
        <w:t>Explaining Evolution of Plant Comm</w:t>
      </w:r>
      <w:r>
        <w:t xml:space="preserve">unication by Airborne Signals”, </w:t>
      </w:r>
      <w:r w:rsidRPr="0002390F">
        <w:rPr>
          <w:i/>
        </w:rPr>
        <w:t>Trends in Ecology and Evolution</w:t>
      </w:r>
      <w:r>
        <w:t>,</w:t>
      </w:r>
      <w:r w:rsidRPr="0002390F">
        <w:t xml:space="preserve"> 25</w:t>
      </w:r>
      <w:r>
        <w:t xml:space="preserve">, </w:t>
      </w:r>
      <w:r w:rsidRPr="0002390F">
        <w:t>3</w:t>
      </w:r>
      <w:r>
        <w:t xml:space="preserve">, </w:t>
      </w:r>
      <w:r w:rsidRPr="0002390F">
        <w:t>p</w:t>
      </w:r>
      <w:r>
        <w:t>p</w:t>
      </w:r>
      <w:r w:rsidRPr="0002390F">
        <w:t xml:space="preserve">. </w:t>
      </w:r>
      <w:r>
        <w:t>137-144.</w:t>
      </w:r>
    </w:p>
    <w:p w:rsidR="002D463E" w:rsidRDefault="002D463E" w:rsidP="000220DD">
      <w:pPr>
        <w:pStyle w:val="References"/>
      </w:pPr>
    </w:p>
    <w:p w:rsidR="002D463E" w:rsidRPr="00E32D22" w:rsidRDefault="002D463E" w:rsidP="000220DD">
      <w:pPr>
        <w:pStyle w:val="References"/>
        <w:rPr>
          <w:szCs w:val="24"/>
        </w:rPr>
      </w:pPr>
      <w:r w:rsidRPr="00E32D22">
        <w:rPr>
          <w:szCs w:val="24"/>
        </w:rPr>
        <w:t xml:space="preserve">Heil, </w:t>
      </w:r>
      <w:r>
        <w:rPr>
          <w:szCs w:val="24"/>
        </w:rPr>
        <w:t xml:space="preserve">M. </w:t>
      </w:r>
      <w:r w:rsidRPr="00E32D22">
        <w:rPr>
          <w:szCs w:val="24"/>
        </w:rPr>
        <w:t>et al.</w:t>
      </w:r>
      <w:r>
        <w:rPr>
          <w:szCs w:val="24"/>
        </w:rPr>
        <w:t>, (2010),</w:t>
      </w:r>
      <w:r w:rsidRPr="00E32D22">
        <w:rPr>
          <w:szCs w:val="24"/>
        </w:rPr>
        <w:t xml:space="preserve"> </w:t>
      </w:r>
      <w:r>
        <w:rPr>
          <w:szCs w:val="24"/>
        </w:rPr>
        <w:t>“Chemical Communication and Coevolution in an Ant–Plant M</w:t>
      </w:r>
      <w:r w:rsidRPr="00E32D22">
        <w:rPr>
          <w:szCs w:val="24"/>
        </w:rPr>
        <w:t>utualism</w:t>
      </w:r>
      <w:r>
        <w:rPr>
          <w:szCs w:val="24"/>
        </w:rPr>
        <w:t>”,</w:t>
      </w:r>
      <w:r w:rsidRPr="00E32D22">
        <w:rPr>
          <w:szCs w:val="24"/>
        </w:rPr>
        <w:t xml:space="preserve"> </w:t>
      </w:r>
      <w:r w:rsidRPr="00E32D22">
        <w:rPr>
          <w:i/>
          <w:szCs w:val="24"/>
        </w:rPr>
        <w:t>Chemoecology</w:t>
      </w:r>
      <w:r>
        <w:rPr>
          <w:szCs w:val="24"/>
        </w:rPr>
        <w:t xml:space="preserve">, </w:t>
      </w:r>
      <w:r w:rsidRPr="00E32D22">
        <w:rPr>
          <w:szCs w:val="24"/>
        </w:rPr>
        <w:t>20</w:t>
      </w:r>
      <w:r>
        <w:rPr>
          <w:szCs w:val="24"/>
        </w:rPr>
        <w:t xml:space="preserve">, pp. </w:t>
      </w:r>
      <w:r w:rsidRPr="00E32D22">
        <w:rPr>
          <w:szCs w:val="24"/>
        </w:rPr>
        <w:t>63–74</w:t>
      </w:r>
      <w:r>
        <w:rPr>
          <w:szCs w:val="24"/>
        </w:rPr>
        <w:t>.</w:t>
      </w:r>
    </w:p>
    <w:p w:rsidR="002D463E" w:rsidRDefault="002D463E" w:rsidP="000220DD">
      <w:pPr>
        <w:pStyle w:val="References"/>
        <w:rPr>
          <w:sz w:val="22"/>
          <w:szCs w:val="22"/>
        </w:rPr>
      </w:pPr>
      <w:r>
        <w:rPr>
          <w:sz w:val="22"/>
          <w:szCs w:val="22"/>
        </w:rPr>
        <w:t xml:space="preserve"> </w:t>
      </w:r>
    </w:p>
    <w:p w:rsidR="002D463E" w:rsidRDefault="002D463E" w:rsidP="000220DD">
      <w:pPr>
        <w:pStyle w:val="References"/>
        <w:rPr>
          <w:szCs w:val="24"/>
        </w:rPr>
      </w:pPr>
      <w:r w:rsidRPr="00D10D6D">
        <w:rPr>
          <w:szCs w:val="24"/>
        </w:rPr>
        <w:t>Hiltpold</w:t>
      </w:r>
      <w:r>
        <w:rPr>
          <w:szCs w:val="24"/>
        </w:rPr>
        <w:t xml:space="preserve">, </w:t>
      </w:r>
      <w:smartTag w:uri="urn:schemas-microsoft-com:office:smarttags" w:element="place">
        <w:r>
          <w:rPr>
            <w:szCs w:val="24"/>
          </w:rPr>
          <w:t>I.</w:t>
        </w:r>
      </w:smartTag>
      <w:r>
        <w:rPr>
          <w:szCs w:val="24"/>
        </w:rPr>
        <w:t xml:space="preserve"> et al., (2010),</w:t>
      </w:r>
      <w:r w:rsidRPr="00D10D6D">
        <w:rPr>
          <w:szCs w:val="24"/>
        </w:rPr>
        <w:t xml:space="preserve"> </w:t>
      </w:r>
      <w:r>
        <w:rPr>
          <w:szCs w:val="24"/>
        </w:rPr>
        <w:t>“How Maize Root Volatiles Affect the Efficacy of Entomopathogenic Nematodes in Controlling the W</w:t>
      </w:r>
      <w:r w:rsidRPr="00D10D6D">
        <w:rPr>
          <w:szCs w:val="24"/>
        </w:rPr>
        <w:t>e</w:t>
      </w:r>
      <w:r>
        <w:rPr>
          <w:szCs w:val="24"/>
        </w:rPr>
        <w:t xml:space="preserve">stern Corn Rootworm”, </w:t>
      </w:r>
      <w:r w:rsidRPr="00E32D22">
        <w:rPr>
          <w:i/>
          <w:szCs w:val="24"/>
        </w:rPr>
        <w:t>Chemoecology</w:t>
      </w:r>
      <w:r>
        <w:rPr>
          <w:szCs w:val="24"/>
        </w:rPr>
        <w:t>,</w:t>
      </w:r>
      <w:r>
        <w:rPr>
          <w:i/>
          <w:szCs w:val="24"/>
        </w:rPr>
        <w:t xml:space="preserve"> </w:t>
      </w:r>
      <w:r w:rsidRPr="00D10D6D">
        <w:rPr>
          <w:szCs w:val="24"/>
        </w:rPr>
        <w:t>20</w:t>
      </w:r>
      <w:r>
        <w:rPr>
          <w:szCs w:val="24"/>
        </w:rPr>
        <w:t>, pp. 1</w:t>
      </w:r>
      <w:r w:rsidRPr="00D10D6D">
        <w:rPr>
          <w:szCs w:val="24"/>
        </w:rPr>
        <w:t>55–162.</w:t>
      </w:r>
    </w:p>
    <w:p w:rsidR="002D463E" w:rsidRDefault="002D463E" w:rsidP="000220DD">
      <w:pPr>
        <w:pStyle w:val="References"/>
        <w:rPr>
          <w:szCs w:val="24"/>
        </w:rPr>
      </w:pPr>
    </w:p>
    <w:p w:rsidR="002D463E" w:rsidRPr="005C3800" w:rsidRDefault="002D463E" w:rsidP="000220DD">
      <w:pPr>
        <w:pStyle w:val="References"/>
        <w:rPr>
          <w:szCs w:val="24"/>
        </w:rPr>
      </w:pPr>
      <w:r w:rsidRPr="00B84CDF">
        <w:rPr>
          <w:szCs w:val="24"/>
        </w:rPr>
        <w:t xml:space="preserve">Hossaert-McKey, M. et al., </w:t>
      </w:r>
      <w:r w:rsidRPr="005C3800">
        <w:rPr>
          <w:szCs w:val="24"/>
        </w:rPr>
        <w:t>(2010)</w:t>
      </w:r>
      <w:r>
        <w:rPr>
          <w:szCs w:val="24"/>
        </w:rPr>
        <w:t>, “Floral Scents: Their Roles in N</w:t>
      </w:r>
      <w:r w:rsidRPr="005C3800">
        <w:rPr>
          <w:szCs w:val="24"/>
        </w:rPr>
        <w:t>ursery</w:t>
      </w:r>
      <w:r>
        <w:rPr>
          <w:szCs w:val="24"/>
        </w:rPr>
        <w:t xml:space="preserve"> Pollination Mutualisms”, </w:t>
      </w:r>
      <w:r w:rsidRPr="005C3800">
        <w:rPr>
          <w:i/>
          <w:szCs w:val="24"/>
        </w:rPr>
        <w:t>Chemoecology</w:t>
      </w:r>
      <w:r>
        <w:rPr>
          <w:i/>
          <w:szCs w:val="24"/>
        </w:rPr>
        <w:t xml:space="preserve">, </w:t>
      </w:r>
      <w:r w:rsidRPr="005C3800">
        <w:rPr>
          <w:szCs w:val="24"/>
        </w:rPr>
        <w:t>20</w:t>
      </w:r>
      <w:r>
        <w:rPr>
          <w:szCs w:val="24"/>
        </w:rPr>
        <w:t xml:space="preserve">, pp. </w:t>
      </w:r>
      <w:r w:rsidRPr="005C3800">
        <w:rPr>
          <w:szCs w:val="24"/>
        </w:rPr>
        <w:t>75</w:t>
      </w:r>
      <w:r>
        <w:rPr>
          <w:szCs w:val="24"/>
        </w:rPr>
        <w:t xml:space="preserve">-88. </w:t>
      </w:r>
    </w:p>
    <w:p w:rsidR="002D463E" w:rsidRDefault="002D463E" w:rsidP="000220DD">
      <w:pPr>
        <w:pStyle w:val="References"/>
        <w:rPr>
          <w:sz w:val="22"/>
          <w:szCs w:val="22"/>
        </w:rPr>
      </w:pPr>
    </w:p>
    <w:p w:rsidR="002D463E" w:rsidRPr="005D3417" w:rsidRDefault="002D463E" w:rsidP="000220DD">
      <w:pPr>
        <w:pStyle w:val="References"/>
      </w:pPr>
      <w:r w:rsidRPr="005D3417">
        <w:t>Houle, K. (2010)</w:t>
      </w:r>
      <w:r>
        <w:t>,</w:t>
      </w:r>
      <w:r w:rsidRPr="005D3417">
        <w:t xml:space="preserve"> </w:t>
      </w:r>
      <w:r>
        <w:t>“</w:t>
      </w:r>
      <w:r w:rsidRPr="005D3417">
        <w:t>Infinite, Indifferent Kinship</w:t>
      </w:r>
      <w:r>
        <w:t>”,</w:t>
      </w:r>
      <w:r w:rsidRPr="005D3417">
        <w:t xml:space="preserve"> </w:t>
      </w:r>
      <w:r w:rsidRPr="005D3417">
        <w:rPr>
          <w:i/>
        </w:rPr>
        <w:t>C-Magazine</w:t>
      </w:r>
      <w:r>
        <w:t xml:space="preserve">, </w:t>
      </w:r>
      <w:r w:rsidRPr="005D3417">
        <w:t>107</w:t>
      </w:r>
      <w:r>
        <w:t>,</w:t>
      </w:r>
      <w:r w:rsidRPr="005D3417">
        <w:t xml:space="preserve"> pp. 12-23.</w:t>
      </w:r>
    </w:p>
    <w:p w:rsidR="002D463E" w:rsidRPr="005D3417" w:rsidRDefault="002D463E" w:rsidP="000220DD">
      <w:pPr>
        <w:pStyle w:val="References"/>
      </w:pPr>
    </w:p>
    <w:p w:rsidR="002D463E" w:rsidRDefault="002D463E" w:rsidP="000220DD">
      <w:pPr>
        <w:pStyle w:val="References"/>
      </w:pPr>
      <w:r w:rsidRPr="005D3417">
        <w:t>Hurley, R. (1988)</w:t>
      </w:r>
      <w:r>
        <w:t>, Preface, in</w:t>
      </w:r>
      <w:r w:rsidRPr="005D3417">
        <w:t xml:space="preserve"> Deleuze, G. </w:t>
      </w:r>
      <w:r w:rsidRPr="005D3417">
        <w:rPr>
          <w:i/>
        </w:rPr>
        <w:t>Spinoza: Practical Philosophy</w:t>
      </w:r>
      <w:r>
        <w:t>,</w:t>
      </w:r>
      <w:r w:rsidRPr="005D3417">
        <w:t xml:space="preserve"> </w:t>
      </w:r>
      <w:r>
        <w:t>City Lights Books:</w:t>
      </w:r>
      <w:r w:rsidRPr="005D3417">
        <w:t xml:space="preserve"> </w:t>
      </w:r>
      <w:smartTag w:uri="urn:schemas-microsoft-com:office:smarttags" w:element="City">
        <w:smartTag w:uri="urn:schemas-microsoft-com:office:smarttags" w:element="place">
          <w:r>
            <w:t>San Francisco</w:t>
          </w:r>
        </w:smartTag>
      </w:smartTag>
      <w:r>
        <w:t>.</w:t>
      </w:r>
      <w:r w:rsidRPr="005D3417">
        <w:t xml:space="preserve"> </w:t>
      </w:r>
    </w:p>
    <w:p w:rsidR="002D463E" w:rsidRPr="00883CF4" w:rsidRDefault="002D463E" w:rsidP="000220DD">
      <w:pPr>
        <w:pStyle w:val="References"/>
      </w:pPr>
    </w:p>
    <w:p w:rsidR="002D463E" w:rsidRDefault="002D463E" w:rsidP="000220DD">
      <w:pPr>
        <w:pStyle w:val="References"/>
        <w:rPr>
          <w:szCs w:val="24"/>
        </w:rPr>
      </w:pPr>
      <w:r w:rsidRPr="00883CF4">
        <w:rPr>
          <w:szCs w:val="24"/>
        </w:rPr>
        <w:t>Irigaray, L. (1993)</w:t>
      </w:r>
      <w:r>
        <w:rPr>
          <w:szCs w:val="24"/>
        </w:rPr>
        <w:t>,</w:t>
      </w:r>
      <w:r w:rsidRPr="00883CF4">
        <w:rPr>
          <w:szCs w:val="24"/>
        </w:rPr>
        <w:t xml:space="preserve"> </w:t>
      </w:r>
      <w:r w:rsidRPr="00883CF4">
        <w:rPr>
          <w:i/>
          <w:szCs w:val="24"/>
        </w:rPr>
        <w:t>An Ethics of Sexual Difference</w:t>
      </w:r>
      <w:r>
        <w:rPr>
          <w:szCs w:val="24"/>
        </w:rPr>
        <w:t>,</w:t>
      </w:r>
      <w:r w:rsidRPr="00883CF4">
        <w:rPr>
          <w:szCs w:val="24"/>
        </w:rPr>
        <w:t xml:space="preserve"> </w:t>
      </w:r>
      <w:smartTag w:uri="urn:schemas-microsoft-com:office:smarttags" w:element="PlaceName">
        <w:r w:rsidRPr="00883CF4">
          <w:rPr>
            <w:szCs w:val="24"/>
          </w:rPr>
          <w:t>Cornell</w:t>
        </w:r>
      </w:smartTag>
      <w:r w:rsidRPr="00883CF4">
        <w:rPr>
          <w:szCs w:val="24"/>
        </w:rPr>
        <w:t xml:space="preserve"> </w:t>
      </w:r>
      <w:smartTag w:uri="urn:schemas-microsoft-com:office:smarttags" w:element="PlaceType">
        <w:r w:rsidRPr="00883CF4">
          <w:rPr>
            <w:szCs w:val="24"/>
          </w:rPr>
          <w:t>University</w:t>
        </w:r>
      </w:smartTag>
      <w:r w:rsidRPr="00883CF4">
        <w:rPr>
          <w:szCs w:val="24"/>
        </w:rPr>
        <w:t xml:space="preserve"> Press</w:t>
      </w:r>
      <w:r>
        <w:rPr>
          <w:szCs w:val="24"/>
        </w:rPr>
        <w:t>:</w:t>
      </w:r>
      <w:r w:rsidRPr="00883CF4">
        <w:rPr>
          <w:szCs w:val="24"/>
        </w:rPr>
        <w:t xml:space="preserve"> </w:t>
      </w:r>
      <w:smartTag w:uri="urn:schemas-microsoft-com:office:smarttags" w:element="City">
        <w:smartTag w:uri="urn:schemas-microsoft-com:office:smarttags" w:element="place">
          <w:r>
            <w:rPr>
              <w:szCs w:val="24"/>
            </w:rPr>
            <w:t>Ithaca</w:t>
          </w:r>
        </w:smartTag>
      </w:smartTag>
      <w:r w:rsidRPr="00883CF4">
        <w:rPr>
          <w:szCs w:val="24"/>
        </w:rPr>
        <w:t>.</w:t>
      </w:r>
    </w:p>
    <w:p w:rsidR="002D463E" w:rsidRDefault="002D463E" w:rsidP="000220DD">
      <w:pPr>
        <w:pStyle w:val="References"/>
        <w:rPr>
          <w:szCs w:val="24"/>
        </w:rPr>
      </w:pPr>
    </w:p>
    <w:p w:rsidR="002D463E" w:rsidRPr="00C76AE2" w:rsidRDefault="002D463E" w:rsidP="000220DD">
      <w:pPr>
        <w:pStyle w:val="References"/>
        <w:rPr>
          <w:szCs w:val="24"/>
        </w:rPr>
      </w:pPr>
      <w:r>
        <w:rPr>
          <w:szCs w:val="24"/>
        </w:rPr>
        <w:t xml:space="preserve">---. (1992), </w:t>
      </w:r>
      <w:r>
        <w:rPr>
          <w:i/>
          <w:szCs w:val="24"/>
        </w:rPr>
        <w:t>Elemental Passions</w:t>
      </w:r>
      <w:r>
        <w:rPr>
          <w:szCs w:val="24"/>
        </w:rPr>
        <w:t>,</w:t>
      </w:r>
      <w:r>
        <w:rPr>
          <w:i/>
          <w:szCs w:val="24"/>
        </w:rPr>
        <w:t xml:space="preserve"> </w:t>
      </w:r>
      <w:r>
        <w:rPr>
          <w:szCs w:val="24"/>
        </w:rPr>
        <w:t xml:space="preserve">translated by J. Collins and J. Still, Routledge: </w:t>
      </w:r>
      <w:smartTag w:uri="urn:schemas-microsoft-com:office:smarttags" w:element="State">
        <w:smartTag w:uri="urn:schemas-microsoft-com:office:smarttags" w:element="place">
          <w:r>
            <w:rPr>
              <w:szCs w:val="24"/>
            </w:rPr>
            <w:t>New York</w:t>
          </w:r>
        </w:smartTag>
      </w:smartTag>
      <w:r>
        <w:rPr>
          <w:szCs w:val="24"/>
        </w:rPr>
        <w:t xml:space="preserve">. </w:t>
      </w:r>
    </w:p>
    <w:p w:rsidR="002D463E" w:rsidRPr="005D3417" w:rsidRDefault="002D463E" w:rsidP="000220DD">
      <w:pPr>
        <w:pStyle w:val="References"/>
      </w:pPr>
    </w:p>
    <w:p w:rsidR="002D463E" w:rsidRDefault="002D463E" w:rsidP="000220DD">
      <w:pPr>
        <w:pStyle w:val="References"/>
      </w:pPr>
      <w:r w:rsidRPr="005D3417">
        <w:t>Karban, R. (2008)</w:t>
      </w:r>
      <w:r>
        <w:t>,</w:t>
      </w:r>
      <w:r w:rsidRPr="005D3417">
        <w:t xml:space="preserve"> </w:t>
      </w:r>
      <w:r>
        <w:t>“</w:t>
      </w:r>
      <w:r w:rsidRPr="005D3417">
        <w:t>Pl</w:t>
      </w:r>
      <w:r>
        <w:t>ant Behaviour and Communication”,</w:t>
      </w:r>
      <w:r w:rsidRPr="005D3417">
        <w:t xml:space="preserve"> </w:t>
      </w:r>
      <w:r w:rsidRPr="005D3417">
        <w:rPr>
          <w:i/>
        </w:rPr>
        <w:t>Ecology Letters</w:t>
      </w:r>
      <w:r w:rsidRPr="005D3417">
        <w:t xml:space="preserve">, 11, pp. 727-739. </w:t>
      </w:r>
    </w:p>
    <w:p w:rsidR="002D463E" w:rsidRDefault="002D463E" w:rsidP="000220DD">
      <w:pPr>
        <w:pStyle w:val="References"/>
      </w:pPr>
    </w:p>
    <w:p w:rsidR="002D463E" w:rsidRPr="000C1E32" w:rsidRDefault="002D463E" w:rsidP="000220DD">
      <w:pPr>
        <w:pStyle w:val="References"/>
        <w:rPr>
          <w:szCs w:val="24"/>
        </w:rPr>
      </w:pPr>
      <w:r w:rsidRPr="000C1E32">
        <w:rPr>
          <w:szCs w:val="24"/>
        </w:rPr>
        <w:t xml:space="preserve">Karban, R. </w:t>
      </w:r>
      <w:r>
        <w:rPr>
          <w:szCs w:val="24"/>
        </w:rPr>
        <w:t>and</w:t>
      </w:r>
      <w:r w:rsidRPr="000C1E32">
        <w:rPr>
          <w:szCs w:val="24"/>
        </w:rPr>
        <w:t xml:space="preserve"> Shiojiri</w:t>
      </w:r>
      <w:r>
        <w:rPr>
          <w:szCs w:val="24"/>
        </w:rPr>
        <w:t>, K. (2009), “Self-Recognition Affects Plant C</w:t>
      </w:r>
      <w:r w:rsidR="000220DD">
        <w:rPr>
          <w:szCs w:val="24"/>
        </w:rPr>
        <w:t xml:space="preserve">ommunication and </w:t>
      </w:r>
      <w:r>
        <w:rPr>
          <w:szCs w:val="24"/>
        </w:rPr>
        <w:t>D</w:t>
      </w:r>
      <w:r w:rsidRPr="000C1E32">
        <w:rPr>
          <w:szCs w:val="24"/>
        </w:rPr>
        <w:t>efense</w:t>
      </w:r>
      <w:r>
        <w:rPr>
          <w:szCs w:val="24"/>
        </w:rPr>
        <w:t xml:space="preserve">”, </w:t>
      </w:r>
      <w:r w:rsidRPr="000C1E32">
        <w:rPr>
          <w:i/>
          <w:szCs w:val="24"/>
        </w:rPr>
        <w:t>Ecology Letters</w:t>
      </w:r>
      <w:r>
        <w:rPr>
          <w:szCs w:val="24"/>
        </w:rPr>
        <w:t xml:space="preserve">, </w:t>
      </w:r>
      <w:r w:rsidRPr="000C1E32">
        <w:rPr>
          <w:szCs w:val="24"/>
        </w:rPr>
        <w:t>12</w:t>
      </w:r>
      <w:r>
        <w:rPr>
          <w:szCs w:val="24"/>
        </w:rPr>
        <w:t xml:space="preserve">, pp. </w:t>
      </w:r>
      <w:r w:rsidRPr="000C1E32">
        <w:rPr>
          <w:szCs w:val="24"/>
        </w:rPr>
        <w:t>502–506</w:t>
      </w:r>
      <w:r>
        <w:rPr>
          <w:szCs w:val="24"/>
        </w:rPr>
        <w:t>.</w:t>
      </w:r>
    </w:p>
    <w:p w:rsidR="002D463E" w:rsidRPr="005D3417" w:rsidRDefault="002D463E" w:rsidP="000220DD">
      <w:pPr>
        <w:pStyle w:val="References"/>
      </w:pPr>
    </w:p>
    <w:p w:rsidR="002D463E" w:rsidRPr="00BA5FB8" w:rsidRDefault="002D463E" w:rsidP="000220DD">
      <w:pPr>
        <w:pStyle w:val="References"/>
      </w:pPr>
      <w:r>
        <w:t>Karban, R. et al. (2000), “Communication B</w:t>
      </w:r>
      <w:r w:rsidRPr="005D3417">
        <w:t xml:space="preserve">etween Plants: Induced Resistance in Wild Tobacco </w:t>
      </w:r>
      <w:r>
        <w:t>Plants F</w:t>
      </w:r>
      <w:r w:rsidRPr="00BA5FB8">
        <w:t>ollowing Clipping of Neighboring Sagebrush</w:t>
      </w:r>
      <w:r>
        <w:t>”,</w:t>
      </w:r>
      <w:r w:rsidRPr="00BA5FB8">
        <w:t xml:space="preserve"> </w:t>
      </w:r>
      <w:r w:rsidRPr="00F34F11">
        <w:t>Oecologia</w:t>
      </w:r>
      <w:r>
        <w:t xml:space="preserve">, </w:t>
      </w:r>
      <w:r w:rsidRPr="00F34F11">
        <w:t>125</w:t>
      </w:r>
      <w:r>
        <w:t xml:space="preserve">, </w:t>
      </w:r>
      <w:r w:rsidRPr="00BA5FB8">
        <w:t>1, pp. 66-71.</w:t>
      </w:r>
    </w:p>
    <w:p w:rsidR="002D463E" w:rsidRPr="00BA5FB8" w:rsidRDefault="002D463E" w:rsidP="000220DD">
      <w:pPr>
        <w:pStyle w:val="References"/>
      </w:pPr>
    </w:p>
    <w:p w:rsidR="002D463E" w:rsidRDefault="002D463E" w:rsidP="000220DD">
      <w:pPr>
        <w:pStyle w:val="References"/>
      </w:pPr>
      <w:r w:rsidRPr="00BA5FB8">
        <w:t>Latour, B. (1993)</w:t>
      </w:r>
      <w:r>
        <w:t>,</w:t>
      </w:r>
      <w:r w:rsidRPr="00BA5FB8">
        <w:t xml:space="preserve"> </w:t>
      </w:r>
      <w:r w:rsidRPr="00BA5FB8">
        <w:rPr>
          <w:i/>
        </w:rPr>
        <w:t>We Have Never Been Modern</w:t>
      </w:r>
      <w:r>
        <w:t>,</w:t>
      </w:r>
      <w:r w:rsidRPr="00BA5FB8">
        <w:t xml:space="preserve"> </w:t>
      </w:r>
      <w:r>
        <w:t xml:space="preserve">translated by Porter C., </w:t>
      </w:r>
      <w:r w:rsidRPr="00BC614C">
        <w:t>Harvard Wheatsheaf</w:t>
      </w:r>
      <w:r>
        <w:t>:</w:t>
      </w:r>
      <w:r w:rsidRPr="00BA5FB8">
        <w:t xml:space="preserve"> </w:t>
      </w:r>
      <w:smartTag w:uri="urn:schemas-microsoft-com:office:smarttags" w:element="City">
        <w:smartTag w:uri="urn:schemas-microsoft-com:office:smarttags" w:element="place">
          <w:r w:rsidRPr="00BA5FB8">
            <w:t>Cambridge</w:t>
          </w:r>
        </w:smartTag>
      </w:smartTag>
      <w:r>
        <w:t>.</w:t>
      </w:r>
    </w:p>
    <w:p w:rsidR="002D463E" w:rsidRDefault="002D463E" w:rsidP="000220DD">
      <w:pPr>
        <w:pStyle w:val="References"/>
      </w:pPr>
    </w:p>
    <w:p w:rsidR="002D463E" w:rsidRPr="00BA5FB8" w:rsidRDefault="002D463E" w:rsidP="000220DD">
      <w:pPr>
        <w:pStyle w:val="References"/>
      </w:pPr>
      <w:r>
        <w:t xml:space="preserve">---. (2004), </w:t>
      </w:r>
      <w:r>
        <w:rPr>
          <w:i/>
        </w:rPr>
        <w:t>The Politics of Nature: Bringing the Sciences into Democracy</w:t>
      </w:r>
      <w:r>
        <w:t>,</w:t>
      </w:r>
      <w:r>
        <w:rPr>
          <w:i/>
        </w:rPr>
        <w:t xml:space="preserve"> </w:t>
      </w:r>
      <w:r>
        <w:t xml:space="preserve">translated by Porter C., Harvard University Press: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r>
        <w:t xml:space="preserve"> </w:t>
      </w:r>
    </w:p>
    <w:p w:rsidR="002D463E" w:rsidRPr="00BA5FB8" w:rsidRDefault="002D463E" w:rsidP="000220DD">
      <w:pPr>
        <w:pStyle w:val="References"/>
      </w:pPr>
    </w:p>
    <w:p w:rsidR="002D463E" w:rsidRDefault="002D463E" w:rsidP="000220DD">
      <w:pPr>
        <w:pStyle w:val="References"/>
      </w:pPr>
      <w:r>
        <w:t>Leake, J. (2010),</w:t>
      </w:r>
      <w:r w:rsidRPr="00BA5FB8">
        <w:t xml:space="preserve"> </w:t>
      </w:r>
      <w:r>
        <w:t>“</w:t>
      </w:r>
      <w:r w:rsidRPr="00BA5FB8">
        <w:t>Scientists Say Dolphins Should be Treated as ‘Non-Human Persons’</w:t>
      </w:r>
      <w:r>
        <w:t>”,</w:t>
      </w:r>
      <w:r w:rsidRPr="00BA5FB8">
        <w:t xml:space="preserve"> </w:t>
      </w:r>
      <w:r w:rsidRPr="00BA5FB8">
        <w:rPr>
          <w:i/>
        </w:rPr>
        <w:t xml:space="preserve">The Sunday Times of London, </w:t>
      </w:r>
      <w:r w:rsidRPr="00BA5FB8">
        <w:t>January</w:t>
      </w:r>
      <w:r>
        <w:t xml:space="preserve"> </w:t>
      </w:r>
      <w:r w:rsidRPr="00BA5FB8">
        <w:t>3</w:t>
      </w:r>
      <w:r>
        <w:t>.</w:t>
      </w:r>
      <w:r w:rsidRPr="00BA5FB8">
        <w:t xml:space="preserve"> </w:t>
      </w:r>
      <w:r>
        <w:t xml:space="preserve">Retrieved 10 April 2011 from: </w:t>
      </w:r>
      <w:hyperlink r:id="rId28" w:history="1">
        <w:r w:rsidRPr="00BA5FB8">
          <w:rPr>
            <w:rStyle w:val="Hyperlink"/>
          </w:rPr>
          <w:t>http://www.timesonline.co.uk/tol/news/science/article6973994.ece</w:t>
        </w:r>
      </w:hyperlink>
      <w:r>
        <w:t>.</w:t>
      </w:r>
      <w:r w:rsidRPr="00BA5FB8">
        <w:t xml:space="preserve"> </w:t>
      </w:r>
    </w:p>
    <w:p w:rsidR="002D463E" w:rsidRDefault="002D463E" w:rsidP="000220DD">
      <w:pPr>
        <w:pStyle w:val="References"/>
      </w:pPr>
    </w:p>
    <w:p w:rsidR="002D463E" w:rsidRDefault="002D463E" w:rsidP="000220DD">
      <w:pPr>
        <w:pStyle w:val="References"/>
      </w:pPr>
      <w:r>
        <w:t xml:space="preserve">Levinas, E. (1985), </w:t>
      </w:r>
      <w:r>
        <w:rPr>
          <w:i/>
        </w:rPr>
        <w:t>Ethics and Infinity</w:t>
      </w:r>
      <w:r>
        <w:t xml:space="preserve">, </w:t>
      </w:r>
      <w:smartTag w:uri="urn:schemas-microsoft-com:office:smarttags" w:element="PlaceName">
        <w:r>
          <w:t>Duquesne</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Pittsburgh</w:t>
          </w:r>
        </w:smartTag>
      </w:smartTag>
      <w:r>
        <w:t xml:space="preserve">. </w:t>
      </w:r>
    </w:p>
    <w:p w:rsidR="002D463E" w:rsidRDefault="002D463E" w:rsidP="000220DD">
      <w:pPr>
        <w:pStyle w:val="References"/>
      </w:pPr>
    </w:p>
    <w:p w:rsidR="002D463E" w:rsidRPr="009911A4" w:rsidRDefault="002D463E" w:rsidP="000220DD">
      <w:pPr>
        <w:pStyle w:val="References"/>
      </w:pPr>
      <w:r>
        <w:t>Lovgren, S. (2005), “Wooly Mammoth Resurection: ‘</w:t>
      </w:r>
      <w:smartTag w:uri="urn:schemas-microsoft-com:office:smarttags" w:element="place">
        <w:smartTag w:uri="urn:schemas-microsoft-com:office:smarttags" w:element="PlaceName">
          <w:r>
            <w:t>Jurassic</w:t>
          </w:r>
        </w:smartTag>
        <w:r>
          <w:t xml:space="preserve"> </w:t>
        </w:r>
        <w:smartTag w:uri="urn:schemas-microsoft-com:office:smarttags" w:element="PlaceType">
          <w:r>
            <w:t>Park</w:t>
          </w:r>
        </w:smartTag>
      </w:smartTag>
      <w:r>
        <w:t xml:space="preserve"> Planned’”, National Geographic News, April 8. Retrieved 10 April 2011 </w:t>
      </w:r>
      <w:r w:rsidRPr="00BC240D">
        <w:t>http://news.nationalgeographic.com/news/2005/04/0408_050408_woollymammoth.html</w:t>
      </w:r>
      <w:r>
        <w:t>.</w:t>
      </w:r>
    </w:p>
    <w:p w:rsidR="002D463E" w:rsidRPr="00BA5FB8" w:rsidRDefault="002D463E" w:rsidP="000220DD">
      <w:pPr>
        <w:pStyle w:val="References"/>
      </w:pPr>
    </w:p>
    <w:p w:rsidR="002D463E" w:rsidRDefault="002D463E" w:rsidP="000220DD">
      <w:pPr>
        <w:pStyle w:val="References"/>
      </w:pPr>
      <w:r w:rsidRPr="00BA5FB8">
        <w:t>McCourt, P. (2005)</w:t>
      </w:r>
      <w:r>
        <w:t>,</w:t>
      </w:r>
      <w:r w:rsidRPr="00BA5FB8">
        <w:t xml:space="preserve"> Hormones and Developmental Timing Boundaries in </w:t>
      </w:r>
      <w:r w:rsidRPr="00214E44">
        <w:rPr>
          <w:i/>
        </w:rPr>
        <w:t>Arabidopsis</w:t>
      </w:r>
      <w:r>
        <w:t>”, a</w:t>
      </w:r>
      <w:r w:rsidRPr="00BA5FB8">
        <w:t>bstract circulated from University of Toronto Department of Botany, 18 March</w:t>
      </w:r>
      <w:r>
        <w:t xml:space="preserve"> 2005. </w:t>
      </w:r>
    </w:p>
    <w:p w:rsidR="002D463E" w:rsidRPr="00BA5FB8" w:rsidRDefault="002D463E" w:rsidP="000220DD">
      <w:pPr>
        <w:pStyle w:val="References"/>
      </w:pPr>
    </w:p>
    <w:p w:rsidR="002D463E" w:rsidRDefault="002D463E" w:rsidP="000220DD">
      <w:pPr>
        <w:pStyle w:val="References"/>
      </w:pPr>
      <w:r w:rsidRPr="00BA5FB8">
        <w:t>Midgley, M. (2004)</w:t>
      </w:r>
      <w:r>
        <w:t>,</w:t>
      </w:r>
      <w:r w:rsidRPr="00BA5FB8">
        <w:t xml:space="preserve"> </w:t>
      </w:r>
      <w:r>
        <w:t>“</w:t>
      </w:r>
      <w:r w:rsidRPr="00BA5FB8">
        <w:t>The Lure of the Simple Distinction</w:t>
      </w:r>
      <w:r>
        <w:t>”, in Linzey, A. and</w:t>
      </w:r>
      <w:r w:rsidRPr="00BA5FB8">
        <w:t xml:space="preserve"> Barry Clarke, P. </w:t>
      </w:r>
      <w:r w:rsidRPr="00BA5FB8">
        <w:rPr>
          <w:i/>
        </w:rPr>
        <w:t>Animal Rights</w:t>
      </w:r>
      <w:r>
        <w:t>,</w:t>
      </w:r>
      <w:r w:rsidRPr="00BA5FB8">
        <w:t xml:space="preserve"> </w:t>
      </w:r>
      <w:smartTag w:uri="urn:schemas-microsoft-com:office:smarttags" w:element="PlaceName">
        <w:r w:rsidRPr="00BA5FB8">
          <w:t>Columbia</w:t>
        </w:r>
      </w:smartTag>
      <w:r w:rsidRPr="00BA5FB8">
        <w:t xml:space="preserve"> </w:t>
      </w:r>
      <w:smartTag w:uri="urn:schemas-microsoft-com:office:smarttags" w:element="PlaceType">
        <w:r w:rsidRPr="00BA5FB8">
          <w:t>University</w:t>
        </w:r>
      </w:smartTag>
      <w:r w:rsidRPr="00BA5FB8">
        <w:t xml:space="preserve"> Press</w:t>
      </w:r>
      <w:r>
        <w:t>:</w:t>
      </w:r>
      <w:r w:rsidRPr="00BA5FB8">
        <w:t xml:space="preserve"> </w:t>
      </w:r>
      <w:smartTag w:uri="urn:schemas-microsoft-com:office:smarttags" w:element="place">
        <w:smartTag w:uri="urn:schemas-microsoft-com:office:smarttags" w:element="State">
          <w:r>
            <w:t>New York</w:t>
          </w:r>
        </w:smartTag>
      </w:smartTag>
      <w:r w:rsidRPr="00BA5FB8">
        <w:t xml:space="preserve">, pp. 47-50. </w:t>
      </w:r>
    </w:p>
    <w:p w:rsidR="002D463E" w:rsidRDefault="002D463E" w:rsidP="000220DD">
      <w:pPr>
        <w:pStyle w:val="References"/>
      </w:pPr>
    </w:p>
    <w:p w:rsidR="002D463E" w:rsidRPr="001F09A3" w:rsidRDefault="002D463E" w:rsidP="000220DD">
      <w:pPr>
        <w:pStyle w:val="References"/>
      </w:pPr>
      <w:r>
        <w:t xml:space="preserve">Minkin, S. F., Rahman, R., and Islam, M.A. (1996), “Flood Control Embankments and Epidemic Kala-Azar in </w:t>
      </w:r>
      <w:smartTag w:uri="urn:schemas-microsoft-com:office:smarttags" w:element="country-region">
        <w:smartTag w:uri="urn:schemas-microsoft-com:office:smarttags" w:element="place">
          <w:r>
            <w:t>Bangladesh</w:t>
          </w:r>
        </w:smartTag>
      </w:smartTag>
      <w:r>
        <w:t xml:space="preserve">”, </w:t>
      </w:r>
      <w:r>
        <w:rPr>
          <w:i/>
        </w:rPr>
        <w:t>Ecosystem Health</w:t>
      </w:r>
      <w:r>
        <w:t xml:space="preserve">, 2, 3, pp. 215-226. </w:t>
      </w:r>
    </w:p>
    <w:p w:rsidR="002D463E" w:rsidRPr="00BA5FB8" w:rsidRDefault="002D463E" w:rsidP="000220DD">
      <w:pPr>
        <w:pStyle w:val="References"/>
      </w:pPr>
    </w:p>
    <w:p w:rsidR="002D463E" w:rsidRPr="00280D71" w:rsidRDefault="002D463E" w:rsidP="000220DD">
      <w:pPr>
        <w:pStyle w:val="References"/>
      </w:pPr>
      <w:r w:rsidRPr="00280D71">
        <w:t xml:space="preserve">Mill, </w:t>
      </w:r>
      <w:r>
        <w:t xml:space="preserve">J. S. (1956), </w:t>
      </w:r>
      <w:r w:rsidRPr="00280D71">
        <w:rPr>
          <w:i/>
        </w:rPr>
        <w:t xml:space="preserve">On </w:t>
      </w:r>
      <w:smartTag w:uri="urn:schemas-microsoft-com:office:smarttags" w:element="City">
        <w:r w:rsidRPr="00280D71">
          <w:rPr>
            <w:i/>
          </w:rPr>
          <w:t>Liberty</w:t>
        </w:r>
      </w:smartTag>
      <w:r>
        <w:t>,</w:t>
      </w:r>
      <w:r>
        <w:rPr>
          <w:i/>
        </w:rPr>
        <w:t xml:space="preserve"> </w:t>
      </w:r>
      <w:r w:rsidRPr="00280D71">
        <w:t>Prentice-Hall</w:t>
      </w:r>
      <w:r>
        <w:t xml:space="preserve">: </w:t>
      </w:r>
      <w:smartTag w:uri="urn:schemas-microsoft-com:office:smarttags" w:element="State">
        <w:smartTag w:uri="urn:schemas-microsoft-com:office:smarttags" w:element="place">
          <w:r>
            <w:t>New Jersey</w:t>
          </w:r>
        </w:smartTag>
      </w:smartTag>
      <w:r>
        <w:t>.</w:t>
      </w:r>
    </w:p>
    <w:p w:rsidR="002D463E" w:rsidRDefault="002D463E" w:rsidP="000220DD">
      <w:pPr>
        <w:pStyle w:val="References"/>
      </w:pPr>
    </w:p>
    <w:p w:rsidR="002D463E" w:rsidRPr="005F7FBF" w:rsidRDefault="002D463E" w:rsidP="000220DD">
      <w:pPr>
        <w:pStyle w:val="References"/>
      </w:pPr>
      <w:smartTag w:uri="urn:schemas-microsoft-com:office:smarttags" w:element="place">
        <w:r w:rsidRPr="005F7FBF">
          <w:t>Preston</w:t>
        </w:r>
      </w:smartTag>
      <w:r w:rsidRPr="005F7FBF">
        <w:t>, G. (2004)</w:t>
      </w:r>
      <w:r>
        <w:t>,</w:t>
      </w:r>
      <w:r w:rsidRPr="005F7FBF">
        <w:t xml:space="preserve"> </w:t>
      </w:r>
      <w:r>
        <w:t>“</w:t>
      </w:r>
      <w:r w:rsidRPr="005F7FBF">
        <w:t>Plant Perceptions of Pla</w:t>
      </w:r>
      <w:r>
        <w:t>nt Growth-Promoting Pseudomonas”,</w:t>
      </w:r>
      <w:r w:rsidRPr="005F7FBF">
        <w:t xml:space="preserve"> </w:t>
      </w:r>
      <w:r w:rsidRPr="005F7FBF">
        <w:rPr>
          <w:i/>
        </w:rPr>
        <w:t>Philosophical Transactions: Biological Sciences</w:t>
      </w:r>
      <w:r>
        <w:t xml:space="preserve">, 359, 1446, </w:t>
      </w:r>
      <w:r w:rsidRPr="005F7FBF">
        <w:t xml:space="preserve">pp. 907-918. </w:t>
      </w:r>
    </w:p>
    <w:p w:rsidR="002D463E" w:rsidRDefault="002D463E" w:rsidP="000220DD">
      <w:pPr>
        <w:pStyle w:val="References"/>
      </w:pPr>
    </w:p>
    <w:p w:rsidR="002D463E" w:rsidRDefault="002D463E" w:rsidP="000220DD">
      <w:pPr>
        <w:pStyle w:val="References"/>
      </w:pPr>
      <w:r>
        <w:t xml:space="preserve">Regan, T. (1983), </w:t>
      </w:r>
      <w:r>
        <w:rPr>
          <w:i/>
        </w:rPr>
        <w:t>The Case for Animal Rights</w:t>
      </w:r>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Press: Berkely and </w:t>
      </w:r>
      <w:smartTag w:uri="urn:schemas-microsoft-com:office:smarttags" w:element="City">
        <w:smartTag w:uri="urn:schemas-microsoft-com:office:smarttags" w:element="place">
          <w:r>
            <w:t>Los Angeles</w:t>
          </w:r>
        </w:smartTag>
      </w:smartTag>
      <w:r>
        <w:t xml:space="preserve">. </w:t>
      </w:r>
    </w:p>
    <w:p w:rsidR="002D463E" w:rsidRDefault="002D463E" w:rsidP="000220DD">
      <w:pPr>
        <w:pStyle w:val="References"/>
      </w:pPr>
    </w:p>
    <w:p w:rsidR="002D463E" w:rsidRDefault="002D463E" w:rsidP="000220DD">
      <w:pPr>
        <w:pStyle w:val="References"/>
      </w:pPr>
      <w:r>
        <w:t xml:space="preserve">Singer, P. (2002), “Is there Value Beyond Sentient Beings?” in Kuhse, H. (Ed.) </w:t>
      </w:r>
      <w:r w:rsidRPr="0032677E">
        <w:rPr>
          <w:i/>
        </w:rPr>
        <w:t>Unsanctifying Human Life: Essays on Ethics</w:t>
      </w:r>
      <w:r>
        <w:t>,</w:t>
      </w:r>
      <w:r>
        <w:rPr>
          <w:i/>
        </w:rPr>
        <w:t xml:space="preserve"> </w:t>
      </w:r>
      <w:r>
        <w:t xml:space="preserve">Blackwell: </w:t>
      </w:r>
      <w:smartTag w:uri="urn:schemas-microsoft-com:office:smarttags" w:element="City">
        <w:smartTag w:uri="urn:schemas-microsoft-com:office:smarttags" w:element="place">
          <w:r>
            <w:t>Oxford</w:t>
          </w:r>
        </w:smartTag>
      </w:smartTag>
      <w:r>
        <w:t xml:space="preserve">, pp. 317-323. </w:t>
      </w:r>
    </w:p>
    <w:p w:rsidR="002D463E" w:rsidRDefault="002D463E" w:rsidP="000220DD">
      <w:pPr>
        <w:pStyle w:val="References"/>
      </w:pPr>
    </w:p>
    <w:p w:rsidR="002D463E" w:rsidRPr="00FE7F67" w:rsidRDefault="002D463E" w:rsidP="000220DD">
      <w:pPr>
        <w:pStyle w:val="References"/>
      </w:pPr>
      <w:r>
        <w:t xml:space="preserve">Spinoza, B. (2000), </w:t>
      </w:r>
      <w:r>
        <w:rPr>
          <w:i/>
        </w:rPr>
        <w:t>Ethics</w:t>
      </w:r>
      <w:r>
        <w:t>,</w:t>
      </w:r>
      <w:r>
        <w:rPr>
          <w:i/>
        </w:rPr>
        <w:t xml:space="preserve"> </w:t>
      </w:r>
      <w:r>
        <w:t xml:space="preserve">edited and translated by Parkinson, G.H.R., Oxford University Press. </w:t>
      </w:r>
    </w:p>
    <w:p w:rsidR="002D463E" w:rsidRDefault="002D463E" w:rsidP="000220DD">
      <w:pPr>
        <w:pStyle w:val="References"/>
      </w:pPr>
    </w:p>
    <w:p w:rsidR="002D463E" w:rsidRDefault="002D463E" w:rsidP="000220DD">
      <w:pPr>
        <w:pStyle w:val="References"/>
      </w:pPr>
      <w:r>
        <w:t xml:space="preserve">Stone, C. (1974), </w:t>
      </w:r>
      <w:r>
        <w:rPr>
          <w:i/>
        </w:rPr>
        <w:t xml:space="preserve">Should Trees Have Standing? </w:t>
      </w:r>
      <w:r>
        <w:t xml:space="preserve">William Kaupmann: Los Altros. </w:t>
      </w:r>
    </w:p>
    <w:p w:rsidR="002D463E" w:rsidRDefault="002D463E" w:rsidP="000220DD">
      <w:pPr>
        <w:pStyle w:val="References"/>
      </w:pPr>
    </w:p>
    <w:p w:rsidR="002D463E" w:rsidRPr="00B84CDF" w:rsidRDefault="002D463E" w:rsidP="000220DD">
      <w:pPr>
        <w:pStyle w:val="References"/>
        <w:rPr>
          <w:lang w:val="fr-CA"/>
        </w:rPr>
      </w:pPr>
      <w:r>
        <w:t xml:space="preserve">---. (1985), “Should Trees Have Standing? Revisited. How Far Will Law and Morals Reach? </w:t>
      </w:r>
      <w:r w:rsidRPr="00B84CDF">
        <w:rPr>
          <w:lang w:val="fr-CA"/>
        </w:rPr>
        <w:t xml:space="preserve">A Pluralist Perspective”, </w:t>
      </w:r>
      <w:r w:rsidRPr="00B84CDF">
        <w:rPr>
          <w:i/>
          <w:lang w:val="fr-CA"/>
        </w:rPr>
        <w:t>Southern Californian Law Review</w:t>
      </w:r>
      <w:r w:rsidRPr="00B84CDF">
        <w:rPr>
          <w:lang w:val="fr-CA"/>
        </w:rPr>
        <w:t>,</w:t>
      </w:r>
      <w:r w:rsidRPr="00B84CDF">
        <w:rPr>
          <w:i/>
          <w:lang w:val="fr-CA"/>
        </w:rPr>
        <w:t xml:space="preserve"> </w:t>
      </w:r>
      <w:r w:rsidRPr="00B84CDF">
        <w:rPr>
          <w:lang w:val="fr-CA"/>
        </w:rPr>
        <w:t xml:space="preserve">59, 1-156. </w:t>
      </w:r>
    </w:p>
    <w:p w:rsidR="002D463E" w:rsidRPr="00B84CDF" w:rsidRDefault="002D463E" w:rsidP="000220DD">
      <w:pPr>
        <w:pStyle w:val="References"/>
        <w:rPr>
          <w:lang w:val="fr-CA"/>
        </w:rPr>
      </w:pPr>
    </w:p>
    <w:p w:rsidR="002D463E" w:rsidRPr="00B84CDF" w:rsidRDefault="002D463E" w:rsidP="000220DD">
      <w:pPr>
        <w:pStyle w:val="References"/>
        <w:rPr>
          <w:szCs w:val="24"/>
          <w:lang w:val="fr-CA"/>
        </w:rPr>
      </w:pPr>
      <w:r>
        <w:rPr>
          <w:szCs w:val="24"/>
          <w:lang w:val="fr-CA"/>
        </w:rPr>
        <w:t>Villani, A. (1999),</w:t>
      </w:r>
      <w:r w:rsidRPr="0063303B">
        <w:rPr>
          <w:szCs w:val="24"/>
          <w:lang w:val="fr-CA"/>
        </w:rPr>
        <w:t xml:space="preserve"> </w:t>
      </w:r>
      <w:r w:rsidRPr="0063303B">
        <w:rPr>
          <w:i/>
          <w:szCs w:val="24"/>
          <w:lang w:val="fr-CA"/>
        </w:rPr>
        <w:t>La Guêpe et L’Orchidée: Essai sur Gilles Deleuze</w:t>
      </w:r>
      <w:r>
        <w:rPr>
          <w:szCs w:val="24"/>
          <w:lang w:val="fr-CA"/>
        </w:rPr>
        <w:t xml:space="preserve">, </w:t>
      </w:r>
      <w:r w:rsidRPr="0063303B">
        <w:rPr>
          <w:szCs w:val="24"/>
          <w:lang w:val="fr-CA"/>
        </w:rPr>
        <w:t>Belin</w:t>
      </w:r>
      <w:r>
        <w:rPr>
          <w:szCs w:val="24"/>
          <w:lang w:val="fr-CA"/>
        </w:rPr>
        <w:t> : Paris.</w:t>
      </w:r>
      <w:r w:rsidRPr="00B84CDF">
        <w:rPr>
          <w:szCs w:val="24"/>
          <w:lang w:val="fr-CA"/>
        </w:rPr>
        <w:t xml:space="preserve"> </w:t>
      </w:r>
    </w:p>
    <w:p w:rsidR="002D463E" w:rsidRPr="00B84CDF" w:rsidRDefault="002D463E" w:rsidP="000220DD">
      <w:pPr>
        <w:pStyle w:val="References"/>
        <w:rPr>
          <w:szCs w:val="24"/>
          <w:lang w:val="fr-CA"/>
        </w:rPr>
      </w:pPr>
    </w:p>
    <w:p w:rsidR="002D463E" w:rsidRDefault="002D463E" w:rsidP="000220DD">
      <w:pPr>
        <w:pStyle w:val="References"/>
        <w:rPr>
          <w:szCs w:val="24"/>
        </w:rPr>
      </w:pPr>
      <w:r w:rsidRPr="00516E62">
        <w:rPr>
          <w:szCs w:val="24"/>
        </w:rPr>
        <w:t>Waltner-Toews, D. (2007)</w:t>
      </w:r>
      <w:r>
        <w:rPr>
          <w:szCs w:val="24"/>
        </w:rPr>
        <w:t>,</w:t>
      </w:r>
      <w:r w:rsidRPr="00516E62">
        <w:rPr>
          <w:szCs w:val="24"/>
        </w:rPr>
        <w:t xml:space="preserve"> </w:t>
      </w:r>
      <w:r w:rsidRPr="00516E62">
        <w:rPr>
          <w:i/>
          <w:szCs w:val="24"/>
        </w:rPr>
        <w:t>The Chickens Fight Back</w:t>
      </w:r>
      <w:r>
        <w:rPr>
          <w:szCs w:val="24"/>
        </w:rPr>
        <w:t>,</w:t>
      </w:r>
      <w:r w:rsidRPr="00516E62">
        <w:rPr>
          <w:szCs w:val="24"/>
        </w:rPr>
        <w:t xml:space="preserve"> Greystone</w:t>
      </w:r>
      <w:r>
        <w:rPr>
          <w:szCs w:val="24"/>
        </w:rPr>
        <w:t>:</w:t>
      </w:r>
      <w:r w:rsidRPr="00516E62">
        <w:rPr>
          <w:szCs w:val="24"/>
        </w:rPr>
        <w:t xml:space="preserve"> </w:t>
      </w:r>
      <w:smartTag w:uri="urn:schemas-microsoft-com:office:smarttags" w:element="place">
        <w:smartTag w:uri="urn:schemas-microsoft-com:office:smarttags" w:element="City">
          <w:r>
            <w:rPr>
              <w:szCs w:val="24"/>
            </w:rPr>
            <w:t>Toronto</w:t>
          </w:r>
        </w:smartTag>
      </w:smartTag>
      <w:r w:rsidRPr="00516E62">
        <w:rPr>
          <w:szCs w:val="24"/>
        </w:rPr>
        <w:t xml:space="preserve">. </w:t>
      </w:r>
    </w:p>
    <w:p w:rsidR="002D463E" w:rsidRDefault="002D463E" w:rsidP="000220DD">
      <w:pPr>
        <w:pStyle w:val="References"/>
        <w:rPr>
          <w:szCs w:val="24"/>
        </w:rPr>
      </w:pPr>
    </w:p>
    <w:p w:rsidR="002D463E" w:rsidRPr="007C3CB4" w:rsidRDefault="002D463E" w:rsidP="000220DD">
      <w:pPr>
        <w:pStyle w:val="References"/>
        <w:rPr>
          <w:iCs/>
          <w:szCs w:val="24"/>
        </w:rPr>
      </w:pPr>
      <w:r>
        <w:rPr>
          <w:szCs w:val="24"/>
        </w:rPr>
        <w:t>---. (1999),</w:t>
      </w:r>
      <w:r w:rsidRPr="007C3CB4">
        <w:rPr>
          <w:szCs w:val="24"/>
        </w:rPr>
        <w:t xml:space="preserve"> </w:t>
      </w:r>
      <w:r>
        <w:rPr>
          <w:szCs w:val="24"/>
        </w:rPr>
        <w:t>“Mad Cows and Bad Berries: Unintended Consequences of Solving Agricultural Problems”,</w:t>
      </w:r>
      <w:r w:rsidRPr="007C3CB4">
        <w:rPr>
          <w:szCs w:val="24"/>
        </w:rPr>
        <w:t xml:space="preserve"> </w:t>
      </w:r>
      <w:r w:rsidRPr="007C3CB4">
        <w:rPr>
          <w:i/>
          <w:szCs w:val="24"/>
        </w:rPr>
        <w:t>Alternatives</w:t>
      </w:r>
      <w:r>
        <w:rPr>
          <w:szCs w:val="24"/>
        </w:rPr>
        <w:t>, 25, 1, pp. 38-44.</w:t>
      </w:r>
    </w:p>
    <w:p w:rsidR="002D463E" w:rsidRDefault="002D463E" w:rsidP="000220DD">
      <w:pPr>
        <w:pStyle w:val="References"/>
        <w:rPr>
          <w:iCs/>
          <w:szCs w:val="24"/>
        </w:rPr>
      </w:pPr>
    </w:p>
    <w:p w:rsidR="002D463E" w:rsidRPr="00EA5E49" w:rsidRDefault="002D463E" w:rsidP="000220DD">
      <w:pPr>
        <w:pStyle w:val="References"/>
        <w:rPr>
          <w:szCs w:val="24"/>
        </w:rPr>
      </w:pPr>
      <w:r>
        <w:rPr>
          <w:iCs/>
          <w:szCs w:val="24"/>
        </w:rPr>
        <w:t>Wi</w:t>
      </w:r>
      <w:r w:rsidRPr="00EA5E49">
        <w:rPr>
          <w:iCs/>
          <w:szCs w:val="24"/>
        </w:rPr>
        <w:t>llemse</w:t>
      </w:r>
      <w:r>
        <w:rPr>
          <w:iCs/>
          <w:szCs w:val="24"/>
        </w:rPr>
        <w:t xml:space="preserve">, </w:t>
      </w:r>
      <w:r w:rsidRPr="00EA5E49">
        <w:rPr>
          <w:iCs/>
          <w:szCs w:val="24"/>
        </w:rPr>
        <w:t xml:space="preserve">M T M. </w:t>
      </w:r>
      <w:r>
        <w:rPr>
          <w:iCs/>
          <w:szCs w:val="24"/>
        </w:rPr>
        <w:t>(2009), “</w:t>
      </w:r>
      <w:r>
        <w:rPr>
          <w:bCs/>
          <w:szCs w:val="24"/>
        </w:rPr>
        <w:t>Evolution of Plant Reproduction: From F</w:t>
      </w:r>
      <w:r w:rsidRPr="00EA5E49">
        <w:rPr>
          <w:bCs/>
          <w:szCs w:val="24"/>
        </w:rPr>
        <w:t>usion and</w:t>
      </w:r>
      <w:r>
        <w:rPr>
          <w:bCs/>
          <w:szCs w:val="24"/>
        </w:rPr>
        <w:t xml:space="preserve"> Dispersal to Interaction and C</w:t>
      </w:r>
      <w:r w:rsidRPr="00EA5E49">
        <w:rPr>
          <w:bCs/>
          <w:szCs w:val="24"/>
        </w:rPr>
        <w:t>ommunication</w:t>
      </w:r>
      <w:r>
        <w:rPr>
          <w:bCs/>
          <w:szCs w:val="24"/>
        </w:rPr>
        <w:t xml:space="preserve">”, </w:t>
      </w:r>
      <w:r w:rsidRPr="00EA5E49">
        <w:rPr>
          <w:i/>
          <w:iCs/>
          <w:szCs w:val="24"/>
        </w:rPr>
        <w:t>Chinese Science Bulletin</w:t>
      </w:r>
      <w:r>
        <w:rPr>
          <w:iCs/>
          <w:szCs w:val="24"/>
        </w:rPr>
        <w:t>,</w:t>
      </w:r>
      <w:r>
        <w:rPr>
          <w:i/>
          <w:iCs/>
          <w:szCs w:val="24"/>
        </w:rPr>
        <w:t xml:space="preserve"> </w:t>
      </w:r>
      <w:r>
        <w:rPr>
          <w:iCs/>
          <w:szCs w:val="24"/>
        </w:rPr>
        <w:t xml:space="preserve">54, 14, pp. 2390-2403. </w:t>
      </w:r>
    </w:p>
    <w:p w:rsidR="002D463E" w:rsidRPr="0006076E" w:rsidRDefault="002D463E" w:rsidP="000220DD">
      <w:pPr>
        <w:pStyle w:val="References"/>
      </w:pPr>
    </w:p>
    <w:p w:rsidR="002D463E" w:rsidRDefault="002D463E" w:rsidP="000220DD">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rsidRPr="008F3531">
        <w:t>Zwicky,</w:t>
      </w:r>
      <w:r>
        <w:t xml:space="preserve"> J. (2003), </w:t>
      </w:r>
      <w:r w:rsidRPr="008F3531">
        <w:rPr>
          <w:i/>
        </w:rPr>
        <w:t>Wisdom as Metaphor</w:t>
      </w:r>
      <w:r>
        <w:t>,</w:t>
      </w:r>
      <w:r>
        <w:rPr>
          <w:i/>
        </w:rPr>
        <w:t xml:space="preserve"> </w:t>
      </w:r>
      <w:r>
        <w:t>G</w:t>
      </w:r>
      <w:r w:rsidRPr="008F3531">
        <w:t>aspereau Press</w:t>
      </w:r>
      <w:r>
        <w:t xml:space="preserve">: </w:t>
      </w:r>
      <w:smartTag w:uri="urn:schemas-microsoft-com:office:smarttags" w:element="place">
        <w:smartTag w:uri="urn:schemas-microsoft-com:office:smarttags" w:element="City">
          <w:r>
            <w:t>Kentville</w:t>
          </w:r>
        </w:smartTag>
        <w:r>
          <w:t xml:space="preserve">, </w:t>
        </w:r>
        <w:smartTag w:uri="urn:schemas-microsoft-com:office:smarttags" w:element="State">
          <w:r>
            <w:t>Nova Scotia</w:t>
          </w:r>
        </w:smartTag>
      </w:smartTag>
      <w:r>
        <w:t>.</w:t>
      </w:r>
    </w:p>
    <w:p w:rsidR="002D463E" w:rsidRPr="00154955" w:rsidRDefault="002D463E" w:rsidP="000220DD">
      <w:pPr>
        <w:pStyle w:val="Heading1"/>
      </w:pPr>
      <w:bookmarkStart w:id="85" w:name="_Toc292202636"/>
      <w:r w:rsidRPr="00154955">
        <w:t>“Strange Kinship” and Ascidian Life: 13 Repetitions</w:t>
      </w:r>
      <w:bookmarkEnd w:id="85"/>
    </w:p>
    <w:p w:rsidR="002D463E" w:rsidRDefault="002D463E" w:rsidP="000220DD"/>
    <w:p w:rsidR="000220DD" w:rsidRDefault="000220DD" w:rsidP="000220DD">
      <w:pPr>
        <w:pStyle w:val="Heading1"/>
      </w:pPr>
      <w:bookmarkStart w:id="86" w:name="_Toc292202637"/>
      <w:r>
        <w:t>Astrida Neimanis</w:t>
      </w:r>
      <w:r>
        <w:rPr>
          <w:rStyle w:val="FootnoteReference"/>
          <w:b w:val="0"/>
          <w:szCs w:val="32"/>
        </w:rPr>
        <w:footnoteReference w:id="30"/>
      </w:r>
      <w:bookmarkEnd w:id="86"/>
    </w:p>
    <w:p w:rsidR="000220DD" w:rsidRDefault="000220DD" w:rsidP="000220DD">
      <w:pPr>
        <w:contextualSpacing/>
        <w:jc w:val="left"/>
        <w:rPr>
          <w:b/>
          <w:sz w:val="32"/>
          <w:szCs w:val="32"/>
        </w:rPr>
      </w:pPr>
    </w:p>
    <w:p w:rsidR="002D463E" w:rsidRPr="006B2638" w:rsidRDefault="002D463E" w:rsidP="000220DD">
      <w:pPr>
        <w:contextualSpacing/>
        <w:jc w:val="left"/>
        <w:rPr>
          <w:i/>
          <w:szCs w:val="24"/>
        </w:rPr>
      </w:pPr>
      <w:r w:rsidRPr="006B2638">
        <w:rPr>
          <w:i/>
          <w:szCs w:val="24"/>
        </w:rPr>
        <w:t>How else can one write but of those things which one doesn’t know, or knows badly? It is precisely there that we imagine having something to say. We write only at the frontiers of our knowledge, at the border which separates our knowledge from our ignorance and transforms the one into the other.”</w:t>
      </w:r>
    </w:p>
    <w:p w:rsidR="002D463E" w:rsidRPr="006B2638" w:rsidRDefault="002D463E" w:rsidP="002D463E">
      <w:pPr>
        <w:spacing w:line="240" w:lineRule="auto"/>
        <w:ind w:left="2835"/>
        <w:contextualSpacing/>
        <w:rPr>
          <w:i/>
          <w:szCs w:val="24"/>
        </w:rPr>
      </w:pPr>
      <w:r w:rsidRPr="006B2638">
        <w:rPr>
          <w:i/>
          <w:szCs w:val="24"/>
        </w:rPr>
        <w:t xml:space="preserve"> </w:t>
      </w:r>
    </w:p>
    <w:p w:rsidR="002D463E" w:rsidRPr="002C2F0F" w:rsidRDefault="002D463E" w:rsidP="002D463E">
      <w:pPr>
        <w:spacing w:line="240" w:lineRule="auto"/>
        <w:contextualSpacing/>
        <w:rPr>
          <w:b/>
          <w:i/>
          <w:szCs w:val="24"/>
        </w:rPr>
      </w:pPr>
      <w:r w:rsidRPr="006B2638">
        <w:rPr>
          <w:i/>
          <w:szCs w:val="24"/>
        </w:rPr>
        <w:t>–</w:t>
      </w:r>
      <w:r w:rsidRPr="00AC31B0">
        <w:rPr>
          <w:szCs w:val="24"/>
        </w:rPr>
        <w:t>Gilles Deleuze,</w:t>
      </w:r>
      <w:r w:rsidRPr="006B2638">
        <w:rPr>
          <w:i/>
          <w:szCs w:val="24"/>
        </w:rPr>
        <w:t xml:space="preserve"> </w:t>
      </w:r>
      <w:r w:rsidRPr="00AC31B0">
        <w:rPr>
          <w:szCs w:val="24"/>
        </w:rPr>
        <w:t>Preface to the English Edition of</w:t>
      </w:r>
      <w:r w:rsidRPr="006B2638">
        <w:rPr>
          <w:i/>
          <w:szCs w:val="24"/>
        </w:rPr>
        <w:t xml:space="preserve"> </w:t>
      </w:r>
      <w:r w:rsidRPr="00AC31B0">
        <w:rPr>
          <w:i/>
          <w:szCs w:val="24"/>
        </w:rPr>
        <w:t>Difference and Repetition</w:t>
      </w:r>
    </w:p>
    <w:p w:rsidR="000220DD" w:rsidRPr="006B2638" w:rsidRDefault="000220DD" w:rsidP="002D463E">
      <w:pPr>
        <w:tabs>
          <w:tab w:val="left" w:pos="2025"/>
        </w:tabs>
        <w:spacing w:line="480" w:lineRule="auto"/>
        <w:contextualSpacing/>
        <w:rPr>
          <w:b/>
          <w:szCs w:val="24"/>
        </w:rPr>
      </w:pPr>
    </w:p>
    <w:p w:rsidR="002D463E" w:rsidRPr="006B2638" w:rsidRDefault="002D463E" w:rsidP="00E35253">
      <w:pPr>
        <w:pStyle w:val="Heading3"/>
        <w:rPr>
          <w:i/>
        </w:rPr>
      </w:pPr>
      <w:r>
        <w:t>Part</w:t>
      </w:r>
      <w:r w:rsidRPr="006B2638">
        <w:t xml:space="preserve"> I:  A</w:t>
      </w:r>
      <w:r>
        <w:t>nimal Ethics and Affinity, at Sea</w:t>
      </w:r>
    </w:p>
    <w:p w:rsidR="002D463E" w:rsidRDefault="002D463E" w:rsidP="002D463E">
      <w:pPr>
        <w:contextualSpacing/>
        <w:rPr>
          <w:szCs w:val="24"/>
        </w:rPr>
      </w:pPr>
    </w:p>
    <w:p w:rsidR="002D463E" w:rsidRDefault="002D463E" w:rsidP="002D463E">
      <w:pPr>
        <w:contextualSpacing/>
        <w:rPr>
          <w:szCs w:val="24"/>
        </w:rPr>
      </w:pPr>
      <w:r w:rsidRPr="006B2638">
        <w:rPr>
          <w:szCs w:val="24"/>
        </w:rPr>
        <w:t xml:space="preserve">What might it mean to engage in ethical relations with other animals? What choreographies or constellations of affect, prohibition, connection, care, incorporation, facilitation, ignorance, conservation, curiosity, or other modes of interbeing might guide me, a distinctly human being, concerned with “living well” with other-than-human animals? Beginning with the whale, but moving to the sea squirt, in this article I suggest that while an animal ethics based on affinity might be an important starting point for cultivating such relations, it is unable to capture the complexity of the ways in which human and other animal bodies intersect. Instead, we might begin taking stock of these “strange kinships” by attending to the ways in which we </w:t>
      </w:r>
      <w:r w:rsidRPr="006B2638">
        <w:rPr>
          <w:i/>
          <w:szCs w:val="24"/>
        </w:rPr>
        <w:t xml:space="preserve">repeat one another, but differently. </w:t>
      </w:r>
      <w:r w:rsidRPr="006B2638">
        <w:rPr>
          <w:szCs w:val="24"/>
        </w:rPr>
        <w:t xml:space="preserve">But such inventories also require adequate ways of repeating these modes of interbeing in textual practice. </w:t>
      </w:r>
    </w:p>
    <w:p w:rsidR="000220DD" w:rsidRDefault="000220DD" w:rsidP="002D463E">
      <w:pPr>
        <w:contextualSpacing/>
        <w:rPr>
          <w:b/>
          <w:szCs w:val="24"/>
        </w:rPr>
      </w:pPr>
    </w:p>
    <w:p w:rsidR="002D463E" w:rsidRPr="006B2638" w:rsidRDefault="002D463E" w:rsidP="00E35253">
      <w:pPr>
        <w:pStyle w:val="Heading3"/>
      </w:pPr>
      <w:r w:rsidRPr="006B2638">
        <w:t>Of Cetaceans and Sea Squirts</w:t>
      </w: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p>
    <w:p w:rsidR="002D463E" w:rsidRPr="006B2638"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lang w:eastAsia="ja-JP"/>
        </w:rPr>
      </w:pPr>
      <w:r w:rsidRPr="006B2638">
        <w:rPr>
          <w:szCs w:val="24"/>
        </w:rPr>
        <w:t>About half a century ago, French phenomenologist Maurice Merleau-Ponty</w:t>
      </w:r>
      <w:r w:rsidRPr="006B2638">
        <w:rPr>
          <w:szCs w:val="24"/>
          <w:lang w:eastAsia="ja-JP"/>
        </w:rPr>
        <w:t xml:space="preserve"> argued in his </w:t>
      </w:r>
      <w:r w:rsidRPr="006B2638">
        <w:rPr>
          <w:i/>
          <w:szCs w:val="24"/>
          <w:lang w:eastAsia="ja-JP"/>
        </w:rPr>
        <w:t>Nature</w:t>
      </w:r>
      <w:r w:rsidRPr="006B2638">
        <w:rPr>
          <w:szCs w:val="24"/>
          <w:lang w:eastAsia="ja-JP"/>
        </w:rPr>
        <w:t xml:space="preserve"> lectures that “the relation between the human and animality is not a hierarchical relation, but lateral” (2003: 268). While Merleau-Ponty was most interested in describing what it means to be a human body, his deeply attentive phenomenological work quickly revealed the boundaries of the human as profoundly porous. Turning his attention to research emerging in the biological, and particularly evolutionary sciences, coupled with his own phenomenological research, Merleau-Ponty posited that even though the human animal has its own modes of being and embodiment, our bodies also share modes of living and modes of embodiment with other animals. We echo through one another. He called this an “interanimality” or an “intercorporeity in the biosphere with all animality” (268). Although for Merleau-Ponty there is something “properly human” about human embodiment in the context of animality more generally, this is “an overcoming that does not abolish kinship”</w:t>
      </w:r>
      <w:r>
        <w:rPr>
          <w:szCs w:val="24"/>
          <w:lang w:eastAsia="ja-JP"/>
        </w:rPr>
        <w:t xml:space="preserve"> (</w:t>
      </w:r>
      <w:r w:rsidRPr="006B2638">
        <w:rPr>
          <w:szCs w:val="24"/>
          <w:lang w:eastAsia="ja-JP"/>
        </w:rPr>
        <w:t>268).</w:t>
      </w:r>
      <w:r w:rsidRPr="006B2638">
        <w:rPr>
          <w:rStyle w:val="EndnoteTextChar"/>
          <w:rFonts w:eastAsia="SimSun"/>
          <w:szCs w:val="24"/>
          <w:vertAlign w:val="superscript"/>
          <w:lang w:eastAsia="ja-JP"/>
        </w:rPr>
        <w:t xml:space="preserve"> </w:t>
      </w:r>
      <w:r w:rsidRPr="006B2638">
        <w:rPr>
          <w:szCs w:val="24"/>
          <w:lang w:eastAsia="ja-JP"/>
        </w:rPr>
        <w:t xml:space="preserve"> There is a </w:t>
      </w:r>
      <w:r w:rsidRPr="006B2638">
        <w:rPr>
          <w:i/>
          <w:szCs w:val="24"/>
          <w:lang w:eastAsia="ja-JP"/>
        </w:rPr>
        <w:t>difference</w:t>
      </w:r>
      <w:r w:rsidRPr="006B2638">
        <w:rPr>
          <w:szCs w:val="24"/>
          <w:lang w:eastAsia="ja-JP"/>
        </w:rPr>
        <w:t>, then, but one that does not amount to human exceptionalism.</w:t>
      </w:r>
      <w:r w:rsidRPr="006B2638">
        <w:rPr>
          <w:rStyle w:val="EndnoteTextChar"/>
          <w:rFonts w:eastAsia="SimSun"/>
          <w:szCs w:val="24"/>
          <w:vertAlign w:val="superscript"/>
          <w:lang w:eastAsia="ja-JP"/>
        </w:rPr>
        <w:footnoteReference w:id="31"/>
      </w: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lang w:eastAsia="ja-JP"/>
        </w:rPr>
      </w:pP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lang w:eastAsia="ja-JP"/>
        </w:rPr>
      </w:pPr>
      <w:r w:rsidRPr="006B2638">
        <w:rPr>
          <w:szCs w:val="24"/>
          <w:lang w:eastAsia="ja-JP"/>
        </w:rPr>
        <w:t xml:space="preserve">While human exceptionalism was then, and still is, a norm in the Continental philosophical tradition, it is precisely this notion of affinity and recognition between human and other animals—that is, a </w:t>
      </w:r>
      <w:r w:rsidRPr="006B2638">
        <w:rPr>
          <w:i/>
          <w:szCs w:val="24"/>
          <w:lang w:eastAsia="ja-JP"/>
        </w:rPr>
        <w:t>kinship</w:t>
      </w:r>
      <w:r w:rsidRPr="006B2638">
        <w:rPr>
          <w:szCs w:val="24"/>
          <w:lang w:eastAsia="ja-JP"/>
        </w:rPr>
        <w:t>—that has taken hold and now dominates more recent attempts to formulate some sort of animal ethics.</w:t>
      </w:r>
      <w:r w:rsidRPr="006B2638">
        <w:rPr>
          <w:color w:val="000000"/>
          <w:szCs w:val="24"/>
        </w:rPr>
        <w:t xml:space="preserve"> Key texts in contemporary critical animal studies (e.g.</w:t>
      </w:r>
      <w:r>
        <w:rPr>
          <w:color w:val="000000"/>
          <w:szCs w:val="24"/>
        </w:rPr>
        <w:t>,</w:t>
      </w:r>
      <w:r w:rsidRPr="006B2638">
        <w:rPr>
          <w:color w:val="000000"/>
          <w:szCs w:val="24"/>
        </w:rPr>
        <w:t xml:space="preserve"> Tyler and Rossini’s </w:t>
      </w:r>
      <w:r w:rsidRPr="006B2638">
        <w:rPr>
          <w:i/>
          <w:color w:val="000000"/>
          <w:szCs w:val="24"/>
        </w:rPr>
        <w:t>Animal Encounters</w:t>
      </w:r>
      <w:r w:rsidRPr="006B2638">
        <w:rPr>
          <w:color w:val="000000"/>
          <w:szCs w:val="24"/>
        </w:rPr>
        <w:t xml:space="preserve"> and Haraway’s </w:t>
      </w:r>
      <w:r w:rsidRPr="006B2638">
        <w:rPr>
          <w:i/>
          <w:color w:val="000000"/>
          <w:szCs w:val="24"/>
        </w:rPr>
        <w:t>Companion Species Manifesto</w:t>
      </w:r>
      <w:r w:rsidRPr="006B2638">
        <w:rPr>
          <w:color w:val="000000"/>
          <w:szCs w:val="24"/>
        </w:rPr>
        <w:t xml:space="preserve"> and </w:t>
      </w:r>
      <w:r w:rsidRPr="006B2638">
        <w:rPr>
          <w:i/>
          <w:color w:val="000000"/>
          <w:szCs w:val="24"/>
        </w:rPr>
        <w:t>When Species Meet</w:t>
      </w:r>
      <w:r w:rsidRPr="006B2638">
        <w:rPr>
          <w:color w:val="000000"/>
          <w:szCs w:val="24"/>
        </w:rPr>
        <w:t xml:space="preserve">) stress similarities and contiguities between human and non-human animals, while popular science texts such as Neil Shubin’s </w:t>
      </w:r>
      <w:r w:rsidRPr="006B2638">
        <w:rPr>
          <w:i/>
          <w:color w:val="000000"/>
          <w:szCs w:val="24"/>
        </w:rPr>
        <w:t>Your Inner Fish</w:t>
      </w:r>
      <w:r w:rsidRPr="006B2638">
        <w:rPr>
          <w:color w:val="000000"/>
          <w:szCs w:val="24"/>
        </w:rPr>
        <w:t xml:space="preserve"> and Carl Zimmer’s </w:t>
      </w:r>
      <w:r w:rsidRPr="006B2638">
        <w:rPr>
          <w:i/>
          <w:color w:val="000000"/>
          <w:szCs w:val="24"/>
        </w:rPr>
        <w:t>At the Water’s Edge</w:t>
      </w:r>
      <w:r w:rsidRPr="006B2638">
        <w:rPr>
          <w:color w:val="000000"/>
          <w:szCs w:val="24"/>
        </w:rPr>
        <w:t xml:space="preserve"> inform and support such analyses.</w:t>
      </w:r>
      <w:r>
        <w:rPr>
          <w:rStyle w:val="FootnoteReference"/>
          <w:color w:val="000000"/>
        </w:rPr>
        <w:footnoteReference w:id="32"/>
      </w:r>
      <w:r w:rsidRPr="006B2638">
        <w:rPr>
          <w:color w:val="000000"/>
          <w:szCs w:val="24"/>
        </w:rPr>
        <w:t xml:space="preserve"> </w:t>
      </w:r>
      <w:r w:rsidRPr="006B2638">
        <w:rPr>
          <w:szCs w:val="24"/>
          <w:lang w:eastAsia="ja-JP"/>
        </w:rPr>
        <w:t xml:space="preserve"> In order to break through the philosophically fortified wall surrounding the human, it seems pertinent to stress the many ways in which we might not be all </w:t>
      </w:r>
      <w:r>
        <w:rPr>
          <w:szCs w:val="24"/>
          <w:lang w:eastAsia="ja-JP"/>
        </w:rPr>
        <w:t>that special after all.</w:t>
      </w:r>
      <w:r w:rsidRPr="00777582">
        <w:rPr>
          <w:szCs w:val="24"/>
          <w:lang w:eastAsia="ja-JP"/>
        </w:rPr>
        <w:t xml:space="preserve"> </w:t>
      </w:r>
    </w:p>
    <w:p w:rsidR="000220DD" w:rsidRDefault="000220DD"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lang w:eastAsia="ja-JP"/>
        </w:rPr>
      </w:pPr>
    </w:p>
    <w:p w:rsidR="002D463E" w:rsidRPr="006B2638"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r w:rsidRPr="006B2638">
        <w:rPr>
          <w:szCs w:val="24"/>
          <w:lang w:eastAsia="ja-JP"/>
        </w:rPr>
        <w:t xml:space="preserve">In animal activist circles—particularly those concerned with “animal rights”—the idea that (some) animals are “like us” (distant cousins, thrice removed or something like that) is also a common rhetorical strategy: both great apes and cetaceans have been the focus of campaigns to extend the “right to life” beyond human animals, precisely because of the attributes or qualities these animals share with us humans. Positing “kinship” becomes a cornerstone of species protection and conservation programs. </w:t>
      </w:r>
      <w:r w:rsidRPr="006B2638">
        <w:rPr>
          <w:szCs w:val="24"/>
        </w:rPr>
        <w:t>Indeed, if we compare whale bodies to our own, we discover that both cetaceans and humans have lungs that breathe air and giant brains. Peel back the blubber of a cetacean’s fin and you will see something not unlike our own human hands: five fingers, a wrist, an elbow, a shoulder. Whales make mammalian babies, and music, just like us. They have red beating hearts, like ours, just as susceptible to being broken.</w:t>
      </w:r>
      <w:r>
        <w:rPr>
          <w:rStyle w:val="FootnoteReference"/>
        </w:rPr>
        <w:footnoteReference w:id="33"/>
      </w:r>
      <w:r w:rsidRPr="006B2638">
        <w:rPr>
          <w:szCs w:val="24"/>
        </w:rPr>
        <w:t xml:space="preserve"> </w:t>
      </w: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p>
    <w:p w:rsidR="002D463E" w:rsidRPr="006B2638"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r w:rsidRPr="006B2638">
        <w:rPr>
          <w:szCs w:val="24"/>
        </w:rPr>
        <w:t>This affinity, as Merleau-Ponty observed more generally in the terms of interanimality, is in part morphological, but more importantly, it has to do with the ways in which these bodies guide our intentionality in the world. Not only do we have body parts in common, but modes of being in common: brains problem-solve, limbs propel us forward, hearts love. The special place that cetaceans hold in the human imagination could be understood as based on kinship as recognition. We engage with such creatures as we align our own morphologies, our own emotions, our own requisites for pleasure or survival with those of the other animal. In these constellations of engagement, difference-in-degree trumps difference-in-kind, as we might imagine ourselves, too, returning to the warm womb of the oceans, terrestrial life</w:t>
      </w:r>
      <w:r>
        <w:rPr>
          <w:szCs w:val="24"/>
        </w:rPr>
        <w:t xml:space="preserve"> is</w:t>
      </w:r>
      <w:r w:rsidRPr="006B2638">
        <w:rPr>
          <w:szCs w:val="24"/>
        </w:rPr>
        <w:t xml:space="preserve"> not all it was cracked up to be. We are responsible to more-than-human creatures because of an affinity, or “fellow-feeling,” that persists, despite social, economic, political—and even philosophical—incentives to deny it.</w:t>
      </w: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r w:rsidRPr="006B2638">
        <w:rPr>
          <w:szCs w:val="24"/>
        </w:rPr>
        <w:t xml:space="preserve">But this sort of affinity has limits, too. While “fellow feeling” suggests a sort of empathy, it might actually be little more than human exceptionalism in whales’ clothing, so to speak. </w:t>
      </w:r>
      <w:r w:rsidRPr="006B2638">
        <w:rPr>
          <w:szCs w:val="24"/>
          <w:lang w:eastAsia="ja-JP"/>
        </w:rPr>
        <w:t>A</w:t>
      </w:r>
      <w:r w:rsidRPr="006B2638">
        <w:rPr>
          <w:szCs w:val="24"/>
        </w:rPr>
        <w:t xml:space="preserve">s Patrick Moore, formerly of Canada’s Greenpeace, once said, “To get [the general public] to save the whales you have to get them to believe the whales are good”(quoted in Einarsson 80)—except that “good” often means “special”—that is, </w:t>
      </w:r>
      <w:r w:rsidRPr="006B2638">
        <w:rPr>
          <w:i/>
          <w:szCs w:val="24"/>
        </w:rPr>
        <w:t>special, like us</w:t>
      </w:r>
      <w:r w:rsidRPr="006B2638">
        <w:rPr>
          <w:szCs w:val="24"/>
        </w:rPr>
        <w:t>. Many of us believe whales should be neither eaten, nor slaughtered, nor held in captivity, but this belief is likely an extension of our repugnance towards the human as food, mass murder victim, and slave. So perhaps we have not overcome human exceptionalism, but rather extended its reach to include those enough like us to be “family.”</w:t>
      </w:r>
    </w:p>
    <w:p w:rsidR="002D463E"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p>
    <w:p w:rsidR="002D463E" w:rsidRPr="006B2638" w:rsidRDefault="002D463E" w:rsidP="002D463E">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r w:rsidRPr="006B2638">
        <w:rPr>
          <w:szCs w:val="24"/>
        </w:rPr>
        <w:t xml:space="preserve">And, even if we do empathize with the whale </w:t>
      </w:r>
      <w:r w:rsidRPr="006B2638">
        <w:rPr>
          <w:i/>
          <w:szCs w:val="24"/>
        </w:rPr>
        <w:t>as whale,</w:t>
      </w:r>
      <w:r w:rsidRPr="006B2638">
        <w:rPr>
          <w:szCs w:val="24"/>
        </w:rPr>
        <w:t xml:space="preserve"> how far can that empathy take us? On my last whale watch in the Bay of Fundy, while the thrill of spotting an endangered North Atlantic right whale was undeniable, so too was the eventual boredom I felt, waiting for another blow</w:t>
      </w:r>
      <w:r w:rsidRPr="006B2638">
        <w:rPr>
          <w:i/>
          <w:szCs w:val="24"/>
        </w:rPr>
        <w:t xml:space="preserve">. </w:t>
      </w:r>
      <w:r w:rsidRPr="006B2638">
        <w:rPr>
          <w:szCs w:val="24"/>
        </w:rPr>
        <w:t>The wind was cold, and the water looked even colder. I knew I should be elated—</w:t>
      </w:r>
      <w:r w:rsidRPr="006B2638">
        <w:rPr>
          <w:i/>
          <w:szCs w:val="24"/>
        </w:rPr>
        <w:t>I was witnessing one of our planet’s most vulnerable life forms, thriving in its natural habitat</w:t>
      </w:r>
      <w:r w:rsidRPr="006B2638">
        <w:rPr>
          <w:szCs w:val="24"/>
        </w:rPr>
        <w:t xml:space="preserve">—but my fingers were frozen, my neck stiff and my patience struggling. And, despite the longstanding romance attached to “swimming with cetaceans,” as I looked out into the choppy, freezing sea, I knew that just about the last place I wanted to be was in that water, with those whales. While they might be an awful lot like me, at that moment I did not feel an awful lot like them.  I dropped the binoculars from my eyes, and the whales disappeared below the waves—back to a home that becomes for us humans increasingly unrecognizable and decreasingly hospitable, the deeper the whales dive. The grey streaks of cetacean back disappeared beneath the breaking waves, swallowed up by an oceanic habitat that is at once of me and within me, but always also beyond me, reaching depths </w:t>
      </w:r>
      <w:r w:rsidRPr="006B2638">
        <w:rPr>
          <w:i/>
          <w:szCs w:val="24"/>
        </w:rPr>
        <w:t>my</w:t>
      </w:r>
      <w:r w:rsidRPr="006B2638">
        <w:rPr>
          <w:szCs w:val="24"/>
        </w:rPr>
        <w:t xml:space="preserve"> body cannot fathom. Such experiences point to more than restlessness on a cold starboard deck. Despite the many ways in which we do share affinities, in moments like this we are reminded that w</w:t>
      </w:r>
      <w:r w:rsidRPr="006B2638">
        <w:rPr>
          <w:szCs w:val="24"/>
          <w:lang w:eastAsia="ja-JP"/>
        </w:rPr>
        <w:t>hale-being (and any other non-human animal being) will always remain, to some extent, beyond us. We can meet at certain (often exhilarating, sometimes uncomfortable) thresholds, but these “borders of the liveable”</w:t>
      </w:r>
      <w:r w:rsidRPr="006B2638">
        <w:rPr>
          <w:rStyle w:val="FootnoteReference"/>
          <w:lang w:eastAsia="ja-JP"/>
        </w:rPr>
        <w:footnoteReference w:id="34"/>
      </w:r>
      <w:r w:rsidRPr="006B2638">
        <w:rPr>
          <w:szCs w:val="24"/>
          <w:lang w:eastAsia="ja-JP"/>
        </w:rPr>
        <w:t xml:space="preserve"> cannot be crossed. </w:t>
      </w:r>
      <w:r w:rsidRPr="006B2638">
        <w:rPr>
          <w:szCs w:val="24"/>
        </w:rPr>
        <w:t>Probably not that day, but sometime shortly thereafter, the whales I spotted in the Basin would make their way out of the bay, hugging the U</w:t>
      </w:r>
      <w:r>
        <w:rPr>
          <w:szCs w:val="24"/>
        </w:rPr>
        <w:t>.</w:t>
      </w:r>
      <w:r w:rsidRPr="006B2638">
        <w:rPr>
          <w:szCs w:val="24"/>
        </w:rPr>
        <w:t>S</w:t>
      </w:r>
      <w:r>
        <w:rPr>
          <w:szCs w:val="24"/>
        </w:rPr>
        <w:t>.</w:t>
      </w:r>
      <w:r w:rsidRPr="006B2638">
        <w:rPr>
          <w:szCs w:val="24"/>
        </w:rPr>
        <w:t xml:space="preserve"> Eastern seaboard as they travelled south to their winter calving grounds. And, just as they passed Cape Cod, these whales probably travelled directly over a benthic zone called Georges Bank—an elevated area of sea floor, known primarily for its productive fishery, but also, since the late </w:t>
      </w:r>
      <w:r>
        <w:rPr>
          <w:szCs w:val="24"/>
        </w:rPr>
        <w:t>19</w:t>
      </w:r>
      <w:r w:rsidRPr="006B2638">
        <w:rPr>
          <w:szCs w:val="24"/>
        </w:rPr>
        <w:t>70’s, as a potentially fecund site for oil and gas drilling.</w:t>
      </w:r>
      <w:r>
        <w:rPr>
          <w:rStyle w:val="FootnoteReference"/>
        </w:rPr>
        <w:footnoteReference w:id="35"/>
      </w:r>
      <w:r w:rsidRPr="006B2638">
        <w:rPr>
          <w:szCs w:val="24"/>
        </w:rPr>
        <w:t xml:space="preserve">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And, as they glided over Georges Bank, these whales might have had an encounter of their own. “Killer Blobs threaten Canada’s Waters” read the headline in one of Canada’s national newspapers, </w:t>
      </w:r>
      <w:r w:rsidRPr="006B2638">
        <w:rPr>
          <w:i/>
          <w:szCs w:val="24"/>
        </w:rPr>
        <w:t>The Globe and Mail</w:t>
      </w:r>
      <w:r w:rsidRPr="006B2638">
        <w:rPr>
          <w:szCs w:val="24"/>
        </w:rPr>
        <w:t>.</w:t>
      </w:r>
      <w:r w:rsidRPr="006B2638">
        <w:rPr>
          <w:rStyle w:val="FootnoteReference"/>
        </w:rPr>
        <w:footnoteReference w:id="36"/>
      </w:r>
      <w:r w:rsidRPr="006B2638">
        <w:rPr>
          <w:szCs w:val="24"/>
        </w:rPr>
        <w:t xml:space="preserve">  In 2005, Canada’s Maritime aquaculture and fisheries industries were put on high alert due to the aggressive and spreading colonization of the sea floor in Georges Bank by a blanket of fauna, described by scientists as a (collective) “slimy creature” with an “icky texture” resembling “porridge-like goop” (Auld</w:t>
      </w:r>
      <w:r>
        <w:rPr>
          <w:szCs w:val="24"/>
        </w:rPr>
        <w:t>,</w:t>
      </w:r>
      <w:r w:rsidRPr="006B2638">
        <w:rPr>
          <w:szCs w:val="24"/>
        </w:rPr>
        <w:t xml:space="preserve"> 2005b).  “The Blob” had been steadily creeping across Georges Bank for several years, creating a thick barrier between fish and what fish feed on.  This aquatic creep meant trouble, not only for the fish, but also for the human fishers, who rely on the Georges Bank fish stocks for their livelihood. “The Blob”—still there to this day—is in fact a colony of invasive decidedly non-human ascidiacea, otherwise known as tunicates, or sea squirts. Sea squirts are ubiquitous, vastly diverse, and under no threat of extinction. While at a stretch, we humans might feel “whale-like,” could this “fellow-feeling” ever extend to “The Blob”? What kind of kinships are these?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Somewhere in the benthos of the northwest Atlantic, then, various questions about ethics and affinity collide, and rise to the surface: what does it mean to say we share kinship with other creatures, and in what ways does this affinity obligate us to them? Must kinship begin with recognition—that is, with a recognition of my human heart, or flippered finger, in an animal other? What are the limits of affinity, and what are we to do when it slips from our grasp—like the right whale flukes beneath the breaking waves? While we may be able to follow this “fellow-feeling” for a distance, it eventually outswims it. And, if the bonds of “fellow-feeling” toward a creature whose cognitive, emotional, and social intelligence so closely reflects our own can be so easily ruptured (out of boredom and discomfort, no less), should this signal to us that building a more extensive platform of animal ethics upon such a fickle foundation might be risky? That is, if kinship as affinity is the basis of animal ethics—and a shaky basis at that—how am I to respond to those creatures, such as that “slew of goopy and gross sea creatures” (Auld</w:t>
      </w:r>
      <w:r>
        <w:rPr>
          <w:szCs w:val="24"/>
        </w:rPr>
        <w:t>,</w:t>
      </w:r>
      <w:r w:rsidRPr="006B2638">
        <w:rPr>
          <w:szCs w:val="24"/>
        </w:rPr>
        <w:t xml:space="preserve"> 2005a)</w:t>
      </w:r>
      <w:r w:rsidRPr="006B2638">
        <w:rPr>
          <w:rStyle w:val="FootnoteReference"/>
        </w:rPr>
        <w:footnoteReference w:id="37"/>
      </w:r>
      <w:r>
        <w:rPr>
          <w:szCs w:val="24"/>
        </w:rPr>
        <w:t xml:space="preserve"> </w:t>
      </w:r>
      <w:r w:rsidRPr="006B2638">
        <w:rPr>
          <w:szCs w:val="24"/>
        </w:rPr>
        <w:t xml:space="preserve">with whom I presumably feel no affinity at all? What constellations of relation might guide my engagement </w:t>
      </w:r>
      <w:r w:rsidRPr="006B2638">
        <w:rPr>
          <w:i/>
          <w:szCs w:val="24"/>
        </w:rPr>
        <w:t>then</w:t>
      </w:r>
      <w:r w:rsidRPr="006B2638">
        <w:rPr>
          <w:szCs w:val="24"/>
        </w:rPr>
        <w:t xml:space="preserve">? </w:t>
      </w:r>
    </w:p>
    <w:p w:rsidR="002D463E" w:rsidRPr="006B2638" w:rsidRDefault="002D463E" w:rsidP="002D463E">
      <w:pPr>
        <w:ind w:firstLine="720"/>
        <w:contextualSpacing/>
        <w:rPr>
          <w:szCs w:val="24"/>
        </w:rPr>
      </w:pPr>
    </w:p>
    <w:p w:rsidR="002D463E" w:rsidRPr="006B2638" w:rsidRDefault="002D463E" w:rsidP="00E35253">
      <w:pPr>
        <w:pStyle w:val="Heading3"/>
      </w:pPr>
      <w:r w:rsidRPr="006B2638">
        <w:t xml:space="preserve">What Repeats?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While an ethics of affinity may indeed be an important starting point for cultivating care and concern for non-human animals, it can only bring us so far. Recognition, as an operator of relation, is too limited and, to put it bluntly, too self-referential (and self-preserving?) to serve as an adequate basis for interaction with bodies of alterity. I therefore propose that repetition, in the sense elaborated by Contintental thinker Gilles Deleuze, is a more encompassing operator of relation, which allows for a more complex choreography of relations with our animal kin.</w:t>
      </w:r>
      <w:r w:rsidRPr="006B2638">
        <w:rPr>
          <w:rStyle w:val="FootnoteReference"/>
        </w:rPr>
        <w:footnoteReference w:id="38"/>
      </w:r>
      <w:r w:rsidRPr="006B2638">
        <w:rPr>
          <w:szCs w:val="24"/>
        </w:rPr>
        <w:t xml:space="preserve">  I am not suggesting that such repetitions are “ethics,” or that to repeat is to be ethical. As we shall see, a careful inventory of the ways in which animal bodies and ways of being repeat in, through and as our own reveals such repetitions to be complex and multiple: hidden and obvious; ironic and necessary; contradictory and complementary; dangerous and life-affirming; self-serving and self-effacing.  From such an inventory, no easy ethical formulations can follow. But perhaps the work of problematizing our own human subjectivity within any formulation of animal ethics is an on-going project, and one more complex than gives us comfort. To undertake these inventories of repetitions, I suggest, can be a key element of this difficult self-reflexive work.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Moreover, I do not wish to suggest that these repetitions are </w:t>
      </w:r>
      <w:r w:rsidRPr="006B2638">
        <w:rPr>
          <w:i/>
          <w:szCs w:val="24"/>
        </w:rPr>
        <w:t>not</w:t>
      </w:r>
      <w:r w:rsidRPr="006B2638">
        <w:rPr>
          <w:szCs w:val="24"/>
        </w:rPr>
        <w:t xml:space="preserve"> a form of kinship. Merleau-Ponty did not necessarily get it wrong: our ways of being in the world do echo those of our animal kin and indeed all of the other life forms with whom we share a planetary intercorporeity. These echoes, however, are not always readily recognized by us. As they refract through our own bodies, experiences and contexts, these reverberations are distorted and made strange. We might not recognize them as affinity at all, and in some instances, we may even deliberately disavow them, refuse to see the connection.  To call this mode of relation a repetition rather than a bare “affinity,” then, helps us escape the demand for straightforward resemblance upon which it is so tempting to build an animal ethics. More importantly, to focus on “what repeats” means that we—the </w:t>
      </w:r>
      <w:r w:rsidRPr="006B2638">
        <w:rPr>
          <w:i/>
          <w:szCs w:val="24"/>
        </w:rPr>
        <w:t>human</w:t>
      </w:r>
      <w:r>
        <w:rPr>
          <w:szCs w:val="24"/>
        </w:rPr>
        <w:t xml:space="preserve">—are </w:t>
      </w:r>
      <w:r w:rsidRPr="006B2638">
        <w:rPr>
          <w:szCs w:val="24"/>
        </w:rPr>
        <w:t xml:space="preserve">no longer the reference point, the ground zero, the control case, the original, against which all other modes of being and relating can be measured. We are but another complex node in a congeries of iterations—repeating and repeated, among other multitudinous forms of life. These repetitions </w:t>
      </w:r>
      <w:r w:rsidRPr="006B2638">
        <w:rPr>
          <w:i/>
          <w:szCs w:val="24"/>
        </w:rPr>
        <w:t>are</w:t>
      </w:r>
      <w:r w:rsidRPr="006B2638">
        <w:rPr>
          <w:szCs w:val="24"/>
        </w:rPr>
        <w:t xml:space="preserve">, in fact, kinships, but as Merleau-Ponty might say, humans and other animals are “strange kin” (2003: 271); these repetitions are uncanny, disturbing, unfamiliar—but also intimately recognizable. While Merleau-Ponty’s analysis heads in a different direction than my own (indeed, for Merleau-Ponty, the human body—“my body,” in fact—remains </w:t>
      </w:r>
      <w:r>
        <w:rPr>
          <w:szCs w:val="24"/>
        </w:rPr>
        <w:t>“the measurant of all” (</w:t>
      </w:r>
      <w:r w:rsidRPr="006B2638">
        <w:rPr>
          <w:szCs w:val="24"/>
        </w:rPr>
        <w:t>2000:</w:t>
      </w:r>
      <w:r>
        <w:rPr>
          <w:szCs w:val="24"/>
        </w:rPr>
        <w:t xml:space="preserve"> 249)</w:t>
      </w:r>
      <w:r w:rsidRPr="006B2638">
        <w:rPr>
          <w:szCs w:val="24"/>
        </w:rPr>
        <w:t>), I would like to borrow his phrase “strange kinship” as an apt way of describing these relations of repetition in which we are imbricated—these cross-body choreographies that embed us in one another’s contexts of materiality, meaning and being, yet pose no demand for recognition of a self as a measure of relation.</w:t>
      </w:r>
      <w:r w:rsidRPr="006B2638">
        <w:rPr>
          <w:rStyle w:val="FootnoteReference"/>
        </w:rPr>
        <w:footnoteReference w:id="39"/>
      </w:r>
      <w:r w:rsidRPr="006B2638">
        <w:rPr>
          <w:szCs w:val="24"/>
        </w:rPr>
        <w:t xml:space="preserve"> </w:t>
      </w:r>
    </w:p>
    <w:p w:rsidR="002D463E" w:rsidRPr="006B2638" w:rsidRDefault="002D463E" w:rsidP="002D463E">
      <w:pPr>
        <w:ind w:firstLine="720"/>
        <w:contextualSpacing/>
        <w:rPr>
          <w:szCs w:val="24"/>
        </w:rPr>
      </w:pPr>
    </w:p>
    <w:p w:rsidR="002D463E" w:rsidRPr="007A03E0" w:rsidRDefault="002D463E" w:rsidP="00E35253">
      <w:pPr>
        <w:pStyle w:val="Heading3"/>
      </w:pPr>
      <w:r w:rsidRPr="007A03E0">
        <w:t>Deleuze and Repetition</w:t>
      </w:r>
    </w:p>
    <w:p w:rsidR="002D463E" w:rsidRDefault="002D463E" w:rsidP="002D463E">
      <w:pPr>
        <w:contextualSpacing/>
        <w:rPr>
          <w:szCs w:val="24"/>
        </w:rPr>
      </w:pPr>
    </w:p>
    <w:p w:rsidR="002D463E" w:rsidRDefault="002D463E" w:rsidP="002D463E">
      <w:pPr>
        <w:contextualSpacing/>
        <w:rPr>
          <w:szCs w:val="24"/>
        </w:rPr>
      </w:pPr>
      <w:r w:rsidRPr="006B2638">
        <w:rPr>
          <w:szCs w:val="24"/>
        </w:rPr>
        <w:t xml:space="preserve">Deleuze’s best-known pronouncements on the relation between human and other animals are connected to the concept of “becoming-animal,” which he develops (with Felix Guattari) in </w:t>
      </w:r>
      <w:r w:rsidRPr="006B2638">
        <w:rPr>
          <w:i/>
          <w:szCs w:val="24"/>
        </w:rPr>
        <w:t>A Thousand Plateaus</w:t>
      </w:r>
      <w:r w:rsidRPr="006B2638">
        <w:rPr>
          <w:szCs w:val="24"/>
        </w:rPr>
        <w:t>. According to this mode of engagement, which operates according to the logic of contagion, human and other animal bodies are continuously contacting and “co-mingling” with one another, and through such “transfections,” our bodies are always participating in the becoming of other animal bodies (Deleuze and Guattari</w:t>
      </w:r>
      <w:r>
        <w:rPr>
          <w:szCs w:val="24"/>
        </w:rPr>
        <w:t xml:space="preserve"> 1987: </w:t>
      </w:r>
      <w:r w:rsidRPr="006B2638">
        <w:rPr>
          <w:szCs w:val="24"/>
        </w:rPr>
        <w:t>232-309). The becoming of bodies is thus always in a relational mode, and we are literally invested in one another.</w:t>
      </w:r>
      <w:r w:rsidRPr="006B2638">
        <w:rPr>
          <w:rStyle w:val="FootnoteReference"/>
        </w:rPr>
        <w:footnoteReference w:id="40"/>
      </w:r>
      <w:r w:rsidRPr="006B2638">
        <w:rPr>
          <w:szCs w:val="24"/>
        </w:rPr>
        <w:t xml:space="preserve">  My suggestion in this paper, however, is that Deleuze’s concept of </w:t>
      </w:r>
      <w:r w:rsidRPr="006B2638">
        <w:rPr>
          <w:i/>
          <w:szCs w:val="24"/>
        </w:rPr>
        <w:t>repetition</w:t>
      </w:r>
      <w:r w:rsidRPr="006B2638">
        <w:rPr>
          <w:szCs w:val="24"/>
        </w:rPr>
        <w:t xml:space="preserve"> offers us a differently nuanced mode of relation for understanding these imbrications with other animals. In putting forth a concept of repetition that </w:t>
      </w:r>
      <w:r>
        <w:rPr>
          <w:szCs w:val="24"/>
        </w:rPr>
        <w:t>radically challenges our common</w:t>
      </w:r>
      <w:r w:rsidRPr="006B2638">
        <w:rPr>
          <w:szCs w:val="24"/>
        </w:rPr>
        <w:t>sensical understanding thereof, Deleuze’s thought provides the impetus for charting our “strange kinships” with other animals. Most importantly for Deleuze, repetition unfolds as difference—</w:t>
      </w:r>
      <w:r w:rsidRPr="006B2638">
        <w:rPr>
          <w:i/>
          <w:szCs w:val="24"/>
        </w:rPr>
        <w:t xml:space="preserve">to repeat is to reiterate, but differently. </w:t>
      </w:r>
      <w:r w:rsidRPr="006B2638">
        <w:rPr>
          <w:szCs w:val="24"/>
        </w:rPr>
        <w:t xml:space="preserve">This focus on difference, I propose, opens the possibility to understand human-other animal relations simultaneously in terms of connection and relation (those modes that are so strongly highlighted in the notion of becoming-animal), but also in terms of an uncanny strangeness, which the notion of becoming may cover-up or elide. If “becoming-animal” emphasizes our contiguity with animals, “difference and repetition” emphasizes our strange reiterations across a </w:t>
      </w:r>
      <w:r w:rsidRPr="006B2638">
        <w:rPr>
          <w:i/>
          <w:szCs w:val="24"/>
        </w:rPr>
        <w:t>rupture</w:t>
      </w:r>
      <w:r w:rsidRPr="006B2638">
        <w:rPr>
          <w:szCs w:val="24"/>
        </w:rPr>
        <w:t xml:space="preserve">.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Deleuze’s</w:t>
      </w:r>
      <w:r>
        <w:rPr>
          <w:szCs w:val="24"/>
        </w:rPr>
        <w:t xml:space="preserve"> (1994)</w:t>
      </w:r>
      <w:r w:rsidRPr="006B2638">
        <w:rPr>
          <w:szCs w:val="24"/>
        </w:rPr>
        <w:t xml:space="preserve"> concept of repetition is developed primarily in his book </w:t>
      </w:r>
      <w:r w:rsidRPr="006B2638">
        <w:rPr>
          <w:i/>
          <w:szCs w:val="24"/>
        </w:rPr>
        <w:t xml:space="preserve">Difference and Repetition. </w:t>
      </w:r>
      <w:r w:rsidRPr="006B2638">
        <w:rPr>
          <w:szCs w:val="24"/>
        </w:rPr>
        <w:t>One of his principal claims here is that repetition does not belong to generality. Repetition is not resemblance: to repeat is not simply to exchange some replaceable aspect of the original for something else, such that the copy is of the same general kind.  “If repetition exists,” writes Deleuze, “it expresses at once a singul</w:t>
      </w:r>
      <w:r>
        <w:rPr>
          <w:szCs w:val="24"/>
        </w:rPr>
        <w:t>arity opposed to the general...</w:t>
      </w:r>
      <w:r w:rsidRPr="006B2638">
        <w:rPr>
          <w:szCs w:val="24"/>
        </w:rPr>
        <w:t>a distinctive opposed to the ordinary, an instantaneity opposed to variation” (2-3).What repeats, in other words, is pure difference. All that c</w:t>
      </w:r>
      <w:r>
        <w:rPr>
          <w:szCs w:val="24"/>
        </w:rPr>
        <w:t>an truly repeat is difference—</w:t>
      </w:r>
      <w:r w:rsidRPr="006B2638">
        <w:rPr>
          <w:szCs w:val="24"/>
        </w:rPr>
        <w:t xml:space="preserve">a force, a compulsion, a desire to differ from oneself. One repeats when one can throw off the shackles of identity, reject the need to reproduce the self-same, and return, instead, as difference. Repetition is not representation, but rather an affirmation and a selection: select from the potentiality that is, and reiterate across a rupture.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Such repetitions have nothing, therefore, to do with teleology, whereby each repetition would be an “improvement” upon the previous instantiation. Deleuze explicitly denies such a view of progress (1994: 248-250). Repetitions rather work in complex and multiple cycles: circling back, gathering up, rhizomatically followin</w:t>
      </w:r>
      <w:r>
        <w:rPr>
          <w:szCs w:val="24"/>
        </w:rPr>
        <w:t>g always new lines of flight...</w:t>
      </w:r>
      <w:r w:rsidRPr="006B2638">
        <w:rPr>
          <w:szCs w:val="24"/>
        </w:rPr>
        <w:t xml:space="preserve">There is no predetermined course of their expression.  Yet, even while what repeats is difference, it is misleading to assume that a repetition could be entirely open-ended. A repetition can only select from a given field of potentiality. This means that an important relation nonetheless exists between iterations—just not one of resemblance. Perhaps the best way of describing this relation is as </w:t>
      </w:r>
      <w:r w:rsidRPr="006B2638">
        <w:rPr>
          <w:i/>
          <w:szCs w:val="24"/>
        </w:rPr>
        <w:t>haunted</w:t>
      </w:r>
      <w:r w:rsidRPr="006B2638">
        <w:rPr>
          <w:szCs w:val="24"/>
        </w:rPr>
        <w:t xml:space="preserve">: a body, an idea, an entity that carries the ghosts of both past and future iterations enfolded within.  </w:t>
      </w:r>
      <w:r w:rsidRPr="006B2638">
        <w:rPr>
          <w:i/>
          <w:szCs w:val="24"/>
        </w:rPr>
        <w:t>Repeated, but differently</w:t>
      </w:r>
      <w:r w:rsidRPr="006B2638">
        <w:rPr>
          <w:szCs w:val="24"/>
        </w:rPr>
        <w:t xml:space="preserve">. If we do catch a glimpse of resemblance, it is uncanny—an ephemeral ghost that, rather than affirming resemblance, asks a question about the strange pathways of relation that sustain us.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So, although for Merleau-Ponty our kinships—no  matter how strange—are still triangulated using one’s own body as “measurant,” I suggest that Deleuze’s repetition allows us to ply and productively disturb this foundation. Of course, as long as we remain embodied human subjects embarking upon the project of writing philosophy, this foundation will never be completely disrupted (nor should it be). We could never fully divest ourselves of a grounding in our own subjectivity, and our human subjectivity is what facilitates many of our very human projects. Yet, there is still much we can do to decentre this self-referentiality. Thinking through repetition, I suggest, is one such means.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If we return to the sea, then: what kinds of relations are inaugurated by thinking in terms of repetition? What kinds of engagement become possible? </w:t>
      </w:r>
      <w:r w:rsidRPr="00286D68">
        <w:rPr>
          <w:szCs w:val="24"/>
        </w:rPr>
        <w:t>What if my “kinship” with the whale were not conditioned by a representation of my generality in her, recognizable to me as some variation of me, but rather a realization that I am a repetition of this “strange kin?”</w:t>
      </w:r>
      <w:r w:rsidRPr="006B2638">
        <w:rPr>
          <w:szCs w:val="24"/>
        </w:rPr>
        <w:t xml:space="preserve"> While I too may be nostalgic for a warm watery home, I know my life is dependent upon the open air and solid ground. As the whale slips beneath the waves, this might not be a failure to connect, but rather an acknowledgement of my existence as an iteration of hers: the whale, repeated differently. She left the sea, but then returned again. She is my could-have-been, my might-still-become.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But again, while I might readily understand myself as a repetition of cetacean life, what might it mean to understand myself as a repetition of ascidian life, too? How might my responsivity to the sea squirt be shaped by the ways that its body, its ways of being, repeat—but differently—as me? How do I in turn re</w:t>
      </w:r>
      <w:r>
        <w:rPr>
          <w:szCs w:val="24"/>
        </w:rPr>
        <w:t>-</w:t>
      </w:r>
      <w:r w:rsidRPr="006B2638">
        <w:rPr>
          <w:szCs w:val="24"/>
        </w:rPr>
        <w:t xml:space="preserve">circulate these repetitions back to ascidian life—asking that it repeat my ways of being, living, becoming?  What might the movements, the contours, the qualities of these repetitions teach me about my animal others, about myself, and about the always complex ways in which we relate? In the currents of these repetitions, the past is never really past, but always swept up into eddies of our present: present thought, present action, present bodies, present philosophy. And within these presents, ripples of the future are always circulating, too. </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And, perhaps such an inventory demands a method, a practice, a way of writing these repetitions that can be attentive to their contradictions and complexity. This would be a writing that describes without fully knowing, a writing that cannot impose an ethics, but can clear space for ethical moments to emerge. In an article concerning the complexity of negotiating human and more-than-human intertwinings, actor-network theorist Stephen Muecke</w:t>
      </w:r>
      <w:r>
        <w:rPr>
          <w:szCs w:val="24"/>
        </w:rPr>
        <w:t xml:space="preserve"> (2009)</w:t>
      </w:r>
      <w:r w:rsidRPr="006B2638">
        <w:rPr>
          <w:szCs w:val="24"/>
        </w:rPr>
        <w:t xml:space="preserve"> reminds us that such negotiation must begin with a “</w:t>
      </w:r>
      <w:r w:rsidRPr="006B2638">
        <w:rPr>
          <w:i/>
          <w:szCs w:val="24"/>
        </w:rPr>
        <w:t>description</w:t>
      </w:r>
      <w:r w:rsidRPr="006B2638">
        <w:rPr>
          <w:szCs w:val="24"/>
        </w:rPr>
        <w:t xml:space="preserve"> of what is ha</w:t>
      </w:r>
      <w:r>
        <w:rPr>
          <w:szCs w:val="24"/>
        </w:rPr>
        <w:t>ppening” (196</w:t>
      </w:r>
      <w:r w:rsidRPr="006B2638">
        <w:rPr>
          <w:szCs w:val="24"/>
        </w:rPr>
        <w:t>). Muecke elaborates that in such endeavours, entrenched divisions between the sciences and the humanities must be overcome, so that we might “describe the interplay of real things in a situation” (200). (We might even be tempted to note the repetition here—a strange kinship between actor-network theory and Merleau-Ponty’s phenomenology that “tries to give a direct descripti</w:t>
      </w:r>
      <w:r>
        <w:rPr>
          <w:szCs w:val="24"/>
        </w:rPr>
        <w:t>on of our experience as it is” (</w:t>
      </w:r>
      <w:r w:rsidRPr="006B2638">
        <w:rPr>
          <w:szCs w:val="24"/>
        </w:rPr>
        <w:t xml:space="preserve">2000: </w:t>
      </w:r>
      <w:r>
        <w:rPr>
          <w:szCs w:val="24"/>
        </w:rPr>
        <w:t>vii)</w:t>
      </w:r>
      <w:r w:rsidRPr="006B2638">
        <w:rPr>
          <w:szCs w:val="24"/>
        </w:rPr>
        <w:t>?). But even if we concede, as Muecke does,</w:t>
      </w:r>
      <w:r w:rsidRPr="006B2638">
        <w:rPr>
          <w:rStyle w:val="FootnoteReference"/>
        </w:rPr>
        <w:footnoteReference w:id="41"/>
      </w:r>
      <w:r w:rsidRPr="006B2638">
        <w:rPr>
          <w:szCs w:val="24"/>
        </w:rPr>
        <w:t xml:space="preserve"> that description is never neutral, is such concession enough? How might we make ourselves even more alive to the power of textual containment, to the ways in which word and world, text and context, too, are always repeating differently, across time, space and rupture? How might we expose the fact that as critic, one can no longer claim to be the omniscient “hero,”</w:t>
      </w:r>
      <w:r w:rsidRPr="006B2638">
        <w:rPr>
          <w:rStyle w:val="FootnoteReference"/>
        </w:rPr>
        <w:footnoteReference w:id="42"/>
      </w:r>
      <w:r w:rsidRPr="006B2638">
        <w:rPr>
          <w:szCs w:val="24"/>
        </w:rPr>
        <w:t xml:space="preserve"> but is instead always a scavenger fish, combing the seafloor of matter and meaning? Just as water makes parasites of us all, this writing might only survive by living off of (through, with, alongside) what we have already said and what we already claim to know, even as it pushe</w:t>
      </w:r>
      <w:r>
        <w:rPr>
          <w:szCs w:val="24"/>
        </w:rPr>
        <w:t>s at the borders of what we do no</w:t>
      </w:r>
      <w:r w:rsidRPr="006B2638">
        <w:rPr>
          <w:szCs w:val="24"/>
        </w:rPr>
        <w:t>t. Description, yes. But also: para-citation.</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We are bodies (words, water, flesh) necessarily bound up in each other: memory, potentiality, gift, debt. </w:t>
      </w:r>
      <w:r w:rsidRPr="006B2638">
        <w:rPr>
          <w:i/>
          <w:szCs w:val="24"/>
        </w:rPr>
        <w:t>Repeated, but differently</w:t>
      </w:r>
      <w:r w:rsidRPr="006B2638">
        <w:rPr>
          <w:szCs w:val="24"/>
        </w:rPr>
        <w:t>.</w:t>
      </w:r>
    </w:p>
    <w:p w:rsidR="002D463E" w:rsidRPr="006B2638" w:rsidRDefault="002D463E" w:rsidP="002D463E">
      <w:pPr>
        <w:ind w:firstLine="720"/>
        <w:contextualSpacing/>
        <w:rPr>
          <w:szCs w:val="24"/>
        </w:rPr>
      </w:pPr>
      <w:r w:rsidRPr="006B2638">
        <w:rPr>
          <w:szCs w:val="24"/>
        </w:rPr>
        <w:t xml:space="preserve"> </w:t>
      </w:r>
    </w:p>
    <w:p w:rsidR="002D463E" w:rsidRPr="006B2638" w:rsidRDefault="002D463E" w:rsidP="00E35253">
      <w:pPr>
        <w:pStyle w:val="Heading3"/>
      </w:pPr>
      <w:r>
        <w:t>Part</w:t>
      </w:r>
      <w:r w:rsidRPr="006B2638">
        <w:t xml:space="preserve"> II: 13 R</w:t>
      </w:r>
      <w:r>
        <w:t>epetitions</w:t>
      </w:r>
    </w:p>
    <w:p w:rsidR="002D463E" w:rsidRPr="006B2638" w:rsidRDefault="002D463E" w:rsidP="002D463E">
      <w:pPr>
        <w:contextualSpacing/>
        <w:rPr>
          <w:b/>
          <w:szCs w:val="24"/>
        </w:rPr>
      </w:pPr>
    </w:p>
    <w:p w:rsidR="002D463E" w:rsidRDefault="002D463E" w:rsidP="00E35253">
      <w:pPr>
        <w:pStyle w:val="Heading3"/>
      </w:pPr>
      <w:r w:rsidRPr="006B2638">
        <w:t>R</w:t>
      </w:r>
      <w:r>
        <w:t>epetition 1: Larvae</w:t>
      </w:r>
    </w:p>
    <w:p w:rsidR="002D463E" w:rsidRDefault="002D463E" w:rsidP="002D463E">
      <w:pPr>
        <w:contextualSpacing/>
        <w:rPr>
          <w:b/>
          <w:szCs w:val="24"/>
        </w:rPr>
      </w:pPr>
    </w:p>
    <w:p w:rsidR="002D463E" w:rsidRPr="00807E74" w:rsidRDefault="002D463E" w:rsidP="002D463E">
      <w:pPr>
        <w:contextualSpacing/>
        <w:rPr>
          <w:b/>
          <w:szCs w:val="24"/>
        </w:rPr>
      </w:pPr>
      <w:r w:rsidRPr="006B2638">
        <w:rPr>
          <w:szCs w:val="24"/>
        </w:rPr>
        <w:t xml:space="preserve">A notable fact about sea squirts: they are chordates. In other words, despite our failures of affinity, ascidians share many characteristics with other chordates, such as humans. To be chordate means that at some point in your development, you will show off a hollow dorsal nerve chord, pharyngeal gill slits, a flexible notochord, a tail, a ventral heart. In most chordates, the notochord will eventually form </w:t>
      </w:r>
      <w:r>
        <w:rPr>
          <w:szCs w:val="24"/>
        </w:rPr>
        <w:t>a bony or cartilaginous spine—</w:t>
      </w:r>
      <w:r w:rsidRPr="006B2638">
        <w:rPr>
          <w:szCs w:val="24"/>
        </w:rPr>
        <w:t xml:space="preserve">that is to say, one grows a backbone. These are the vertebrates.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In Deleuze’s discussions of embryogenesis and evolutionary biology, the larva hovers on the precipice between the virtual and the actual. As Deleuze expounds, the larva, or egg, holds an unknown latency, a potentiality for expression that may never be expressed. The larval subject, for Deleuze, is the potential subject, or subject-to-come, the subject who is yet to be differenciated (1994: 78, 119, 219). Deleuze suggests this notion of larval subjectivity as an implicit challenge to biologist Ernst Haeckel’s 1866 claims that “ontogeny recapitulates phylogeny.”</w:t>
      </w:r>
      <w:r>
        <w:rPr>
          <w:rStyle w:val="FootnoteReference"/>
        </w:rPr>
        <w:footnoteReference w:id="43"/>
      </w:r>
      <w:r>
        <w:rPr>
          <w:szCs w:val="24"/>
        </w:rPr>
        <w:t xml:space="preserve"> In this theory, which</w:t>
      </w:r>
      <w:r w:rsidRPr="006B2638">
        <w:rPr>
          <w:szCs w:val="24"/>
        </w:rPr>
        <w:t xml:space="preserve"> remained popular in evolutionary circles for decades, Haeckel asserted that in the growth of a human embryo, one could see a miniaturized mirroring of phylogeny, or the evolutionary history of species. Haeckel’s theory thus posited a teleological version of evolution, whereby development from amoeba, to invertebrate, eventually to tetrapod human was the destined course of progress, just as any embryo was destined to progress from a less-developed l</w:t>
      </w:r>
      <w:r>
        <w:rPr>
          <w:szCs w:val="24"/>
        </w:rPr>
        <w:t>arva into a more complex, more “evolved”</w:t>
      </w:r>
      <w:r w:rsidRPr="006B2638">
        <w:rPr>
          <w:szCs w:val="24"/>
        </w:rPr>
        <w:t xml:space="preserve"> adult. But for Deleuze, evoluti</w:t>
      </w:r>
      <w:r>
        <w:rPr>
          <w:szCs w:val="24"/>
        </w:rPr>
        <w:t xml:space="preserve">on unfolds from virtuality—the </w:t>
      </w:r>
      <w:r w:rsidRPr="006B2638">
        <w:rPr>
          <w:szCs w:val="24"/>
        </w:rPr>
        <w:t>larval subject, teeming with latent potentiality</w:t>
      </w:r>
      <w:r>
        <w:rPr>
          <w:szCs w:val="24"/>
        </w:rPr>
        <w:t>—to</w:t>
      </w:r>
      <w:r w:rsidRPr="006B2638">
        <w:rPr>
          <w:szCs w:val="24"/>
        </w:rPr>
        <w:t xml:space="preserve"> actuality. The embryo “lives the unliveable” (1994: 250) in Deleuze’s words, and “only the involuted evolve” (1994: 118). The larva, the embryo, holds all the potentiality that would rip an adult apart (1994: 215, 250; Deleuze and Guattari 1987: 47).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Unlike humans, ascidians are invertebrate chordates. They begin their lives as tadpole-like larva, with heads and tails, hearts and stomachs, and eyes. Their motile larvae freely swim about in search of a suitable place to settle down. At this point they reabsorb their spines, their tails, their eyes. (An </w:t>
      </w:r>
      <w:r w:rsidRPr="006B2638">
        <w:rPr>
          <w:i/>
          <w:szCs w:val="24"/>
        </w:rPr>
        <w:t>involution</w:t>
      </w:r>
      <w:r w:rsidRPr="006B2638">
        <w:rPr>
          <w:szCs w:val="24"/>
        </w:rPr>
        <w:t xml:space="preserve">?) They grow gonads, their siphons become more pronounced, and they spend the rest of their zooid, sessile existence, taking in water and squirting it out again.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Deleuze: To grow from larva to adult, the adult simply selects what it can withstand. </w:t>
      </w:r>
    </w:p>
    <w:p w:rsidR="002D463E" w:rsidRPr="006B2638" w:rsidRDefault="002D463E" w:rsidP="002D463E">
      <w:pPr>
        <w:contextualSpacing/>
        <w:rPr>
          <w:szCs w:val="24"/>
        </w:rPr>
      </w:pPr>
    </w:p>
    <w:p w:rsidR="000220DD" w:rsidRDefault="002D463E" w:rsidP="002D463E">
      <w:pPr>
        <w:contextualSpacing/>
        <w:rPr>
          <w:szCs w:val="24"/>
        </w:rPr>
      </w:pPr>
      <w:r w:rsidRPr="006B2638">
        <w:rPr>
          <w:szCs w:val="24"/>
        </w:rPr>
        <w:t xml:space="preserve">In a context of </w:t>
      </w:r>
      <w:r w:rsidRPr="006B2638">
        <w:rPr>
          <w:i/>
          <w:szCs w:val="24"/>
        </w:rPr>
        <w:t>fastercheapermore</w:t>
      </w:r>
      <w:r w:rsidRPr="006B2638">
        <w:rPr>
          <w:szCs w:val="24"/>
        </w:rPr>
        <w:t>, what might the sea squirt teach us about “progress?”</w:t>
      </w:r>
    </w:p>
    <w:p w:rsidR="002D463E" w:rsidRPr="006B2638" w:rsidRDefault="002D463E" w:rsidP="002D463E">
      <w:pPr>
        <w:contextualSpacing/>
        <w:rPr>
          <w:szCs w:val="24"/>
        </w:rPr>
      </w:pPr>
      <w:r w:rsidRPr="006B2638">
        <w:rPr>
          <w:szCs w:val="24"/>
        </w:rPr>
        <w:t xml:space="preserve"> </w:t>
      </w:r>
    </w:p>
    <w:p w:rsidR="002D463E" w:rsidRPr="006B2638" w:rsidRDefault="002D463E" w:rsidP="002D463E">
      <w:pPr>
        <w:contextualSpacing/>
        <w:rPr>
          <w:b/>
          <w:szCs w:val="24"/>
        </w:rPr>
      </w:pPr>
    </w:p>
    <w:p w:rsidR="002D463E" w:rsidRPr="006B2638" w:rsidRDefault="002D463E" w:rsidP="00E35253">
      <w:pPr>
        <w:pStyle w:val="Heading3"/>
      </w:pPr>
      <w:r>
        <w:t>Repetition</w:t>
      </w:r>
      <w:r w:rsidRPr="006B2638">
        <w:t xml:space="preserve"> 2: G</w:t>
      </w:r>
      <w:r>
        <w:t>lobalization</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“The Blob” on Georges Bank is not a solitary phenomenon. Ascidians are ubiquitous, and rather promiscuous. They populate major bodies of water in all regions of the globe. And, “[r]ecent surveys of invertebrates in many coastal areas demonstrate ever-increasing populations of non-indigenous ascidians” (Lambert</w:t>
      </w:r>
      <w:r>
        <w:rPr>
          <w:szCs w:val="24"/>
        </w:rPr>
        <w:t>, 2001:</w:t>
      </w:r>
      <w:r w:rsidRPr="006B2638">
        <w:rPr>
          <w:szCs w:val="24"/>
        </w:rPr>
        <w:t xml:space="preserve"> 250). </w:t>
      </w:r>
    </w:p>
    <w:p w:rsidR="002D463E" w:rsidRPr="006B2638" w:rsidRDefault="002D463E" w:rsidP="002D463E">
      <w:pPr>
        <w:contextualSpacing/>
        <w:rPr>
          <w:rStyle w:val="credit"/>
          <w:szCs w:val="24"/>
        </w:rPr>
      </w:pPr>
    </w:p>
    <w:p w:rsidR="002D463E" w:rsidRPr="006B2638" w:rsidRDefault="002D463E" w:rsidP="002D463E">
      <w:pPr>
        <w:contextualSpacing/>
        <w:rPr>
          <w:szCs w:val="24"/>
        </w:rPr>
      </w:pPr>
      <w:r w:rsidRPr="006B2638">
        <w:rPr>
          <w:rStyle w:val="credit"/>
          <w:szCs w:val="24"/>
        </w:rPr>
        <w:t xml:space="preserve">Invasive species are non-native species </w:t>
      </w:r>
      <w:r w:rsidRPr="006B2638">
        <w:rPr>
          <w:szCs w:val="24"/>
        </w:rPr>
        <w:t>that disrupt and adversely affect, economically, environmentally, and/or ecologically, a particular habitat through domination and colonization.</w:t>
      </w:r>
      <w:r>
        <w:rPr>
          <w:szCs w:val="24"/>
        </w:rPr>
        <w:t xml:space="preserve"> </w:t>
      </w:r>
      <w:r w:rsidRPr="006B2638">
        <w:rPr>
          <w:szCs w:val="24"/>
        </w:rPr>
        <w:t xml:space="preserve">  </w:t>
      </w:r>
    </w:p>
    <w:p w:rsidR="002D463E" w:rsidRPr="006B2638" w:rsidRDefault="002D463E" w:rsidP="002D463E">
      <w:pPr>
        <w:contextualSpacing/>
        <w:rPr>
          <w:b/>
          <w:i/>
          <w:szCs w:val="24"/>
        </w:rPr>
      </w:pPr>
    </w:p>
    <w:p w:rsidR="002D463E" w:rsidRPr="006B2638" w:rsidRDefault="002D463E" w:rsidP="002D463E">
      <w:pPr>
        <w:contextualSpacing/>
        <w:rPr>
          <w:i/>
          <w:szCs w:val="24"/>
        </w:rPr>
      </w:pPr>
      <w:r w:rsidRPr="006B2638">
        <w:rPr>
          <w:b/>
          <w:i/>
          <w:szCs w:val="24"/>
        </w:rPr>
        <w:t>Herdmania spp</w:t>
      </w:r>
      <w:r w:rsidRPr="006B2638">
        <w:rPr>
          <w:i/>
          <w:szCs w:val="24"/>
        </w:rPr>
        <w:t>: Several species of Herdmania were described from the Pacific, then lumped under H. Momus with numerous records worldwide in the tropics. It is now apparent that there are several distinct species</w:t>
      </w:r>
      <w:r w:rsidRPr="006B2638">
        <w:rPr>
          <w:szCs w:val="24"/>
        </w:rPr>
        <w:t xml:space="preserve"> (Lambert</w:t>
      </w:r>
      <w:r>
        <w:rPr>
          <w:szCs w:val="24"/>
        </w:rPr>
        <w:t>, 2001:</w:t>
      </w:r>
      <w:r w:rsidRPr="006B2638">
        <w:rPr>
          <w:szCs w:val="24"/>
        </w:rPr>
        <w:t xml:space="preserve"> 252)</w:t>
      </w:r>
      <w:r w:rsidRPr="006B2638">
        <w:rPr>
          <w:i/>
          <w:szCs w:val="24"/>
        </w:rPr>
        <w:t xml:space="preserve">. </w:t>
      </w:r>
    </w:p>
    <w:p w:rsidR="002D463E" w:rsidRPr="006B2638" w:rsidRDefault="002D463E" w:rsidP="002D463E">
      <w:pPr>
        <w:contextualSpacing/>
        <w:rPr>
          <w:b/>
          <w:i/>
          <w:szCs w:val="24"/>
        </w:rPr>
      </w:pPr>
    </w:p>
    <w:p w:rsidR="002D463E" w:rsidRPr="006B2638" w:rsidRDefault="002D463E" w:rsidP="002D463E">
      <w:pPr>
        <w:contextualSpacing/>
        <w:rPr>
          <w:szCs w:val="24"/>
        </w:rPr>
      </w:pPr>
      <w:r w:rsidRPr="006B2638">
        <w:rPr>
          <w:b/>
          <w:i/>
          <w:szCs w:val="24"/>
        </w:rPr>
        <w:t xml:space="preserve">Microcosmus exasperatus: </w:t>
      </w:r>
      <w:r w:rsidRPr="006B2638">
        <w:rPr>
          <w:i/>
          <w:szCs w:val="24"/>
        </w:rPr>
        <w:t xml:space="preserve">This large stolidobranch is common in the Mediterranean, Hawaii, Guam, Australia and throughout the Indo-Pacific. Its origin will probably never be known. </w:t>
      </w:r>
      <w:r w:rsidRPr="006B2638">
        <w:rPr>
          <w:szCs w:val="24"/>
        </w:rPr>
        <w:t>(253).</w:t>
      </w:r>
    </w:p>
    <w:p w:rsidR="002D463E" w:rsidRPr="006B2638" w:rsidRDefault="002D463E" w:rsidP="002D463E">
      <w:pPr>
        <w:contextualSpacing/>
        <w:rPr>
          <w:b/>
          <w:i/>
          <w:szCs w:val="24"/>
        </w:rPr>
      </w:pPr>
    </w:p>
    <w:p w:rsidR="002D463E" w:rsidRPr="006B2638" w:rsidRDefault="002D463E" w:rsidP="002D463E">
      <w:pPr>
        <w:contextualSpacing/>
        <w:rPr>
          <w:szCs w:val="24"/>
        </w:rPr>
      </w:pPr>
      <w:r w:rsidRPr="006B2638">
        <w:rPr>
          <w:b/>
          <w:i/>
          <w:szCs w:val="24"/>
        </w:rPr>
        <w:t>Symplegma brakenhielmi</w:t>
      </w:r>
      <w:r w:rsidRPr="006B2638">
        <w:rPr>
          <w:i/>
          <w:szCs w:val="24"/>
        </w:rPr>
        <w:t xml:space="preserve">: Known worldwide under its former name of S. Oceania, it was long recognized as a successful invader in many parts of the world. It is probable, however, that the many records for this species really refer to several species; they are difficult to distinguish </w:t>
      </w:r>
      <w:r w:rsidRPr="006B2638">
        <w:rPr>
          <w:szCs w:val="24"/>
        </w:rPr>
        <w:t>(254).</w:t>
      </w:r>
    </w:p>
    <w:p w:rsidR="002D463E" w:rsidRPr="006B2638" w:rsidRDefault="002D463E" w:rsidP="002D463E">
      <w:pPr>
        <w:contextualSpacing/>
        <w:rPr>
          <w:i/>
          <w:szCs w:val="24"/>
        </w:rPr>
      </w:pPr>
    </w:p>
    <w:p w:rsidR="002D463E" w:rsidRDefault="002D463E" w:rsidP="002D463E">
      <w:pPr>
        <w:contextualSpacing/>
        <w:rPr>
          <w:szCs w:val="24"/>
        </w:rPr>
      </w:pPr>
      <w:r w:rsidRPr="006B2638">
        <w:rPr>
          <w:szCs w:val="24"/>
        </w:rPr>
        <w:t>(“‘There are so many bad guys coming across</w:t>
      </w:r>
      <w:r>
        <w:rPr>
          <w:szCs w:val="24"/>
        </w:rPr>
        <w:t>—b</w:t>
      </w:r>
      <w:r w:rsidRPr="006B2638">
        <w:rPr>
          <w:szCs w:val="24"/>
        </w:rPr>
        <w:t>andits and smugglers,’ said one concerned citizen. So, the Arizona legislature is about to pass the toughest law against il</w:t>
      </w:r>
      <w:r>
        <w:rPr>
          <w:szCs w:val="24"/>
        </w:rPr>
        <w:t>legal immigrants in the country” (Whitaker, 2010: n.p.</w:t>
      </w:r>
      <w:r w:rsidRPr="006B2638">
        <w:rPr>
          <w:szCs w:val="24"/>
        </w:rPr>
        <w:t>)</w:t>
      </w:r>
      <w:r>
        <w:rPr>
          <w:szCs w:val="24"/>
        </w:rPr>
        <w:t>.)</w:t>
      </w:r>
    </w:p>
    <w:p w:rsidR="002D463E" w:rsidRPr="006B2638" w:rsidRDefault="002D463E" w:rsidP="002D463E">
      <w:pPr>
        <w:contextualSpacing/>
        <w:rPr>
          <w:szCs w:val="24"/>
        </w:rPr>
      </w:pPr>
      <w:r w:rsidRPr="006B2638">
        <w:rPr>
          <w:szCs w:val="24"/>
        </w:rPr>
        <w:br/>
        <w:t>Ascidians are also kn</w:t>
      </w:r>
      <w:r>
        <w:rPr>
          <w:szCs w:val="24"/>
        </w:rPr>
        <w:t>own as “marine pests,”</w:t>
      </w:r>
      <w:r w:rsidRPr="006B2638">
        <w:rPr>
          <w:szCs w:val="24"/>
        </w:rPr>
        <w:t xml:space="preserve"> “foulers,” and more recently, as a “biosecurity challenge” (Hodge</w:t>
      </w:r>
      <w:r>
        <w:rPr>
          <w:szCs w:val="24"/>
        </w:rPr>
        <w:t>,</w:t>
      </w:r>
      <w:r w:rsidRPr="006B2638">
        <w:rPr>
          <w:szCs w:val="24"/>
        </w:rPr>
        <w:t xml:space="preserve"> 2010).  </w:t>
      </w:r>
    </w:p>
    <w:p w:rsidR="002D463E" w:rsidRPr="006B2638" w:rsidRDefault="002D463E" w:rsidP="002D463E">
      <w:pPr>
        <w:contextualSpacing/>
        <w:rPr>
          <w:szCs w:val="24"/>
        </w:rPr>
      </w:pPr>
    </w:p>
    <w:p w:rsidR="002D463E" w:rsidRPr="006B2638" w:rsidRDefault="002D463E" w:rsidP="002D463E">
      <w:pPr>
        <w:contextualSpacing/>
        <w:rPr>
          <w:szCs w:val="24"/>
        </w:rPr>
      </w:pPr>
      <w:r>
        <w:rPr>
          <w:szCs w:val="24"/>
        </w:rPr>
        <w:t>(“(The law’s) intended to be the toughest,”</w:t>
      </w:r>
      <w:r w:rsidRPr="006B2638">
        <w:rPr>
          <w:szCs w:val="24"/>
        </w:rPr>
        <w:t xml:space="preserve"> said Arizona State Sen</w:t>
      </w:r>
      <w:r>
        <w:rPr>
          <w:szCs w:val="24"/>
        </w:rPr>
        <w:t>ator</w:t>
      </w:r>
      <w:r w:rsidRPr="006B2638">
        <w:rPr>
          <w:szCs w:val="24"/>
        </w:rPr>
        <w:t xml:space="preserve"> Russell Pearce. </w:t>
      </w:r>
      <w:r>
        <w:rPr>
          <w:szCs w:val="24"/>
        </w:rPr>
        <w:t>“</w:t>
      </w:r>
      <w:r w:rsidRPr="006B2638">
        <w:rPr>
          <w:szCs w:val="24"/>
        </w:rPr>
        <w:t>They're illegal,</w:t>
      </w:r>
      <w:r>
        <w:rPr>
          <w:szCs w:val="24"/>
        </w:rPr>
        <w:t>” Pearce said. “This is not harsh” (Whitaker, 2010: n.p.</w:t>
      </w:r>
      <w:r w:rsidRPr="006B2638">
        <w:rPr>
          <w:szCs w:val="24"/>
        </w:rPr>
        <w:t>)</w:t>
      </w:r>
      <w:r>
        <w:rPr>
          <w:szCs w:val="24"/>
        </w:rPr>
        <w:t>.)</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 “There are now numerous documented instances of successful and apparently permanent establishment.” (Lambert</w:t>
      </w:r>
      <w:r>
        <w:rPr>
          <w:szCs w:val="24"/>
        </w:rPr>
        <w:t>, 2001:</w:t>
      </w:r>
      <w:r w:rsidRPr="006B2638">
        <w:rPr>
          <w:szCs w:val="24"/>
        </w:rPr>
        <w:t xml:space="preserve"> 250)</w:t>
      </w:r>
    </w:p>
    <w:p w:rsidR="002D463E" w:rsidRPr="006B2638" w:rsidRDefault="002D463E" w:rsidP="002D463E">
      <w:pPr>
        <w:contextualSpacing/>
        <w:rPr>
          <w:szCs w:val="24"/>
        </w:rPr>
      </w:pPr>
      <w:r>
        <w:rPr>
          <w:szCs w:val="24"/>
        </w:rPr>
        <w:t xml:space="preserve"> </w:t>
      </w:r>
    </w:p>
    <w:p w:rsidR="002D463E" w:rsidRPr="006B2638" w:rsidRDefault="002D463E" w:rsidP="002D463E">
      <w:pPr>
        <w:contextualSpacing/>
        <w:rPr>
          <w:szCs w:val="24"/>
        </w:rPr>
      </w:pPr>
      <w:r w:rsidRPr="006B2638">
        <w:rPr>
          <w:szCs w:val="24"/>
        </w:rPr>
        <w:t>“Many of the most significant factors leading to invasive-species settlement are anthropogenic. Aquaculture, that is, the artificial substrates that hold huge monocultures of mussels and other bivalves with their vast amount of shell surface are ideal habitats for ascidian settlement.”</w:t>
      </w:r>
      <w:r>
        <w:rPr>
          <w:szCs w:val="24"/>
        </w:rPr>
        <w:t xml:space="preserve"> (Lambert, 2001: </w:t>
      </w:r>
      <w:r w:rsidRPr="006B2638">
        <w:rPr>
          <w:szCs w:val="24"/>
        </w:rPr>
        <w:t xml:space="preserve">250)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Repetition, not only of bodies, but ways of being.  </w:t>
      </w:r>
    </w:p>
    <w:p w:rsidR="002D463E" w:rsidRPr="006B2638" w:rsidRDefault="002D463E" w:rsidP="002D463E">
      <w:pPr>
        <w:contextualSpacing/>
        <w:rPr>
          <w:szCs w:val="24"/>
        </w:rPr>
      </w:pPr>
    </w:p>
    <w:p w:rsidR="002D463E" w:rsidRPr="006B2638" w:rsidRDefault="002D463E" w:rsidP="00E35253">
      <w:pPr>
        <w:pStyle w:val="Heading3"/>
      </w:pPr>
      <w:r>
        <w:t>Repetition</w:t>
      </w:r>
      <w:r w:rsidRPr="006B2638">
        <w:t xml:space="preserve"> 3:  Biomagnification</w:t>
      </w:r>
    </w:p>
    <w:p w:rsidR="002D463E"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Ascidiacea are exceptional filter feeders: a single zooid may be capable of filtering up to 100 gallons of water each day (Hanley</w:t>
      </w:r>
      <w:r>
        <w:t>,</w:t>
      </w:r>
      <w:r w:rsidRPr="006B2638">
        <w:t xml:space="preserve"> 2010). As such, adult sea squirts accumulate </w:t>
      </w:r>
      <w:hyperlink r:id="rId29" w:tooltip="Pollutants" w:history="1">
        <w:r w:rsidRPr="006B2638">
          <w:rPr>
            <w:rStyle w:val="Hyperlink"/>
          </w:rPr>
          <w:t>pollutants</w:t>
        </w:r>
      </w:hyperlink>
      <w:r w:rsidRPr="006B2638">
        <w:t xml:space="preserve"> and toxins that can be harmful to their larvae and impede enzyme function in adult tissues. “This property has made some species sensitive indicators of pol</w:t>
      </w:r>
      <w:r>
        <w:t>lution” (Wikipedia, “Ascidiacea</w:t>
      </w:r>
      <w:r w:rsidRPr="006B2638">
        <w:t>”)</w:t>
      </w:r>
      <w:r>
        <w:t>.</w:t>
      </w:r>
      <w:r w:rsidRPr="006B2638">
        <w:t xml:space="preserve">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 xml:space="preserve">Evolutionary biologists call it matrotropy: eating one's mother. As Derrida says, </w:t>
      </w:r>
      <w:r w:rsidRPr="006B2638">
        <w:rPr>
          <w:i/>
        </w:rPr>
        <w:t>“Il faut bien manger.”</w:t>
      </w:r>
      <w:r w:rsidRPr="006B2638">
        <w:rPr>
          <w:rStyle w:val="FootnoteReference"/>
          <w:i/>
        </w:rPr>
        <w:footnoteReference w:id="44"/>
      </w:r>
      <w:r w:rsidRPr="006B2638">
        <w:rPr>
          <w:i/>
        </w:rPr>
        <w:t xml:space="preserve"> </w:t>
      </w:r>
      <w:r w:rsidRPr="006B2638">
        <w:t>But the ingredients of human breast milk would go something like this: fat, vitamins  A, C, E and K, lactose, essential minerals, growth hormones, proteins, enzymes and antibodies, DDT, PCB's, dioxin, trichloroethylene, perchlorate, mercury, lead, benzene, arsenic, paint thinner, dry-cleaning fluid, toilet deodorizers, Teflon, rocket fuel, termite poison, fungicides and flame retardant (Williams</w:t>
      </w:r>
      <w:r>
        <w:t>,</w:t>
      </w:r>
      <w:r w:rsidRPr="006B2638">
        <w:t xml:space="preserve"> 2005). Indeed, nursing one’s young may be the ultimate detox: “Scientists believe that mothers siphon off to their baby a significant amount of their lifelong store of chemicals in the course of breast-feeding” (Williams</w:t>
      </w:r>
      <w:r>
        <w:t>,</w:t>
      </w:r>
      <w:r w:rsidRPr="006B2638">
        <w:t xml:space="preserve"> 2005</w:t>
      </w:r>
      <w:r>
        <w:t>: n.p.)</w:t>
      </w:r>
      <w:r w:rsidRPr="006B2638">
        <w:t xml:space="preserve">.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Thanks to cold temperatures and little sunlight, toxins break down slowly in the Arctic. A thumb-sized piece of maktaaq, a staple in the Inuit diet, contains more than Health Canada’s maximum recommended intake of PCBs for an entire week (Duffy). “This property has made some species sensitive indicators of pol</w:t>
      </w:r>
      <w:r>
        <w:t>lution” (Wikipedia, “Ascidiacea</w:t>
      </w:r>
      <w:r w:rsidRPr="006B2638">
        <w:t>”)</w:t>
      </w:r>
      <w:r>
        <w:t>.</w:t>
      </w:r>
    </w:p>
    <w:p w:rsidR="002D463E" w:rsidRPr="006B2638" w:rsidRDefault="002D463E" w:rsidP="002D463E">
      <w:pPr>
        <w:pStyle w:val="NormalWeb"/>
        <w:spacing w:line="360" w:lineRule="auto"/>
        <w:contextualSpacing/>
        <w:jc w:val="both"/>
      </w:pPr>
    </w:p>
    <w:p w:rsidR="002D463E" w:rsidRDefault="002D463E" w:rsidP="002D463E">
      <w:pPr>
        <w:pStyle w:val="NormalWeb"/>
        <w:spacing w:line="360" w:lineRule="auto"/>
        <w:contextualSpacing/>
        <w:jc w:val="both"/>
      </w:pPr>
      <w:r w:rsidRPr="006B2638">
        <w:t xml:space="preserve"> “</w:t>
      </w:r>
      <w:r w:rsidRPr="006B2638">
        <w:rPr>
          <w:i/>
        </w:rPr>
        <w:t>Signs of Danger</w:t>
      </w:r>
      <w:r w:rsidRPr="006B2638">
        <w:t>,” writes Peter van Wy</w:t>
      </w:r>
      <w:r>
        <w:t>ck: “The point is that threat—</w:t>
      </w:r>
      <w:r w:rsidRPr="006B2638">
        <w:t>a</w:t>
      </w:r>
      <w:r>
        <w:t>s threat—</w:t>
      </w:r>
      <w:r w:rsidRPr="006B2638">
        <w:t>has the status of paradoxical event. On one hand, it is something that is in advance of the accident, something in advance of that which befalls. But on the other, to be under threat is for something to already have taken place” (Van Wyck</w:t>
      </w:r>
      <w:r>
        <w:t>, 2004:</w:t>
      </w:r>
      <w:r w:rsidRPr="006B2638">
        <w:t xml:space="preserve"> xix)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 xml:space="preserve">What has already taken place? What bodies of ascidian life, what bodily fluids, are repeating? Belugas were known to whalers as “sea canaries” because of the bird-like chirps, whistles and squeals they emit.  But there are other canaries of the sea now, too: the coal mine is flooding, and sea squirts are swimming for their lives.  </w:t>
      </w:r>
    </w:p>
    <w:p w:rsidR="002D463E" w:rsidRPr="006B2638" w:rsidRDefault="002D463E" w:rsidP="002D463E">
      <w:pPr>
        <w:pStyle w:val="NormalWeb"/>
        <w:spacing w:line="360" w:lineRule="auto"/>
        <w:contextualSpacing/>
        <w:jc w:val="both"/>
      </w:pPr>
    </w:p>
    <w:p w:rsidR="002D463E" w:rsidRPr="006B2638" w:rsidRDefault="002D463E" w:rsidP="00E35253">
      <w:pPr>
        <w:pStyle w:val="Heading3"/>
      </w:pPr>
      <w:r>
        <w:t>Repetition</w:t>
      </w:r>
      <w:r w:rsidRPr="006B2638">
        <w:t xml:space="preserve"> 4: Sociality </w:t>
      </w:r>
      <w:r w:rsidRPr="006B2638">
        <w:tab/>
      </w:r>
    </w:p>
    <w:p w:rsidR="002D463E" w:rsidRDefault="002D463E" w:rsidP="002D463E">
      <w:pPr>
        <w:tabs>
          <w:tab w:val="left" w:pos="1530"/>
        </w:tabs>
        <w:contextualSpacing/>
        <w:rPr>
          <w:szCs w:val="24"/>
        </w:rPr>
      </w:pPr>
    </w:p>
    <w:p w:rsidR="002D463E" w:rsidRPr="006B2638" w:rsidRDefault="002D463E" w:rsidP="002D463E">
      <w:pPr>
        <w:tabs>
          <w:tab w:val="left" w:pos="1530"/>
        </w:tabs>
        <w:contextualSpacing/>
        <w:rPr>
          <w:szCs w:val="24"/>
        </w:rPr>
      </w:pPr>
      <w:r w:rsidRPr="006B2638">
        <w:rPr>
          <w:szCs w:val="24"/>
        </w:rPr>
        <w:t xml:space="preserve">Sea mammals and sea squirts are colliding in the coastal waters of North Florida, too. </w:t>
      </w:r>
    </w:p>
    <w:p w:rsidR="002D463E" w:rsidRPr="006B2638" w:rsidRDefault="002D463E" w:rsidP="002D463E">
      <w:pPr>
        <w:tabs>
          <w:tab w:val="left" w:pos="1530"/>
        </w:tabs>
        <w:contextualSpacing/>
        <w:rPr>
          <w:szCs w:val="24"/>
        </w:rPr>
      </w:pPr>
      <w:r w:rsidRPr="006B2638">
        <w:rPr>
          <w:szCs w:val="24"/>
        </w:rPr>
        <w:t>The endangered Florida manatee spends six to eight hours a day feeding on sea grasses. Watercraft collisions are responsible for most manatee deaths, but anthropogenic habitat destruction is another leading factor (Van Meter</w:t>
      </w:r>
      <w:r>
        <w:rPr>
          <w:szCs w:val="24"/>
        </w:rPr>
        <w:t>,</w:t>
      </w:r>
      <w:r w:rsidRPr="006B2638">
        <w:rPr>
          <w:szCs w:val="24"/>
        </w:rPr>
        <w:t xml:space="preserve"> 1989). </w:t>
      </w:r>
    </w:p>
    <w:p w:rsidR="002D463E" w:rsidRPr="006B2638" w:rsidRDefault="002D463E" w:rsidP="002D463E">
      <w:pPr>
        <w:tabs>
          <w:tab w:val="left" w:pos="1530"/>
        </w:tabs>
        <w:contextualSpacing/>
        <w:rPr>
          <w:szCs w:val="24"/>
        </w:rPr>
      </w:pPr>
    </w:p>
    <w:p w:rsidR="002D463E" w:rsidRPr="006B2638" w:rsidRDefault="002D463E" w:rsidP="002D463E">
      <w:pPr>
        <w:tabs>
          <w:tab w:val="left" w:pos="1530"/>
        </w:tabs>
        <w:contextualSpacing/>
        <w:rPr>
          <w:szCs w:val="24"/>
        </w:rPr>
      </w:pPr>
      <w:r w:rsidRPr="006B2638">
        <w:rPr>
          <w:szCs w:val="24"/>
        </w:rPr>
        <w:t xml:space="preserve">Periodic red tide blooms have also been associated with a number of manatee deaths. Sea squirts, those exceptional filter-feeders, accumulate brevotoxins from red tide phytoplankton. While the brevotoxin-concentrated sea squirts adhere to the sea grasses, these grasses are also the manatee’s primary source of food. </w:t>
      </w:r>
    </w:p>
    <w:p w:rsidR="002D463E" w:rsidRPr="006B2638" w:rsidRDefault="002D463E" w:rsidP="002D463E">
      <w:pPr>
        <w:tabs>
          <w:tab w:val="left" w:pos="1530"/>
        </w:tabs>
        <w:contextualSpacing/>
        <w:rPr>
          <w:szCs w:val="24"/>
        </w:rPr>
      </w:pPr>
    </w:p>
    <w:p w:rsidR="002D463E" w:rsidRPr="006B2638" w:rsidRDefault="002D463E" w:rsidP="002D463E">
      <w:pPr>
        <w:tabs>
          <w:tab w:val="left" w:pos="1530"/>
        </w:tabs>
        <w:contextualSpacing/>
        <w:rPr>
          <w:szCs w:val="24"/>
        </w:rPr>
      </w:pPr>
      <w:r w:rsidRPr="006B2638">
        <w:rPr>
          <w:szCs w:val="24"/>
        </w:rPr>
        <w:t xml:space="preserve"> “It is unclear what causes red tides, but the frequency and severity of algal blooms in many parts of the world have been linked to increased nutrient loading from human activities” as in agricultural run-off.  Moreover, “[c]oastal water pollution produced by humans and systematic increase in sea water temper</w:t>
      </w:r>
      <w:r>
        <w:rPr>
          <w:szCs w:val="24"/>
        </w:rPr>
        <w:t>ature have also been implicated... in red tides</w:t>
      </w:r>
      <w:r w:rsidRPr="006B2638">
        <w:rPr>
          <w:szCs w:val="24"/>
        </w:rPr>
        <w:t>” (Florida Red Tide Solution</w:t>
      </w:r>
      <w:r>
        <w:rPr>
          <w:szCs w:val="24"/>
        </w:rPr>
        <w:t>s, 2011: n.p.)</w:t>
      </w:r>
      <w:r w:rsidRPr="006B2638">
        <w:rPr>
          <w:szCs w:val="24"/>
        </w:rPr>
        <w:t>.  And still, as listed in one comprehensive information booklet on the manatee, for the manatee to die from “red tide” is to die from “natural causes” (Van Meter</w:t>
      </w:r>
      <w:r>
        <w:rPr>
          <w:szCs w:val="24"/>
        </w:rPr>
        <w:t>, 1989</w:t>
      </w:r>
      <w:r w:rsidRPr="006B2638">
        <w:rPr>
          <w:szCs w:val="24"/>
        </w:rPr>
        <w:t xml:space="preserve">). </w:t>
      </w:r>
    </w:p>
    <w:p w:rsidR="002D463E" w:rsidRPr="006B2638" w:rsidRDefault="002D463E" w:rsidP="002D463E">
      <w:pPr>
        <w:tabs>
          <w:tab w:val="left" w:pos="1530"/>
        </w:tabs>
        <w:contextualSpacing/>
        <w:rPr>
          <w:szCs w:val="24"/>
        </w:rPr>
      </w:pPr>
    </w:p>
    <w:p w:rsidR="002D463E" w:rsidRPr="006B2638" w:rsidRDefault="002D463E" w:rsidP="002D463E">
      <w:pPr>
        <w:tabs>
          <w:tab w:val="left" w:pos="1530"/>
        </w:tabs>
        <w:contextualSpacing/>
        <w:rPr>
          <w:szCs w:val="24"/>
        </w:rPr>
      </w:pPr>
      <w:r w:rsidRPr="006B2638">
        <w:rPr>
          <w:szCs w:val="24"/>
        </w:rPr>
        <w:t>But “biology is relentlessly historical, all the way down.” Donna Haraway has note</w:t>
      </w:r>
      <w:r>
        <w:rPr>
          <w:szCs w:val="24"/>
        </w:rPr>
        <w:t xml:space="preserve">d, “There is no border where... </w:t>
      </w:r>
      <w:r w:rsidRPr="006B2638">
        <w:rPr>
          <w:szCs w:val="24"/>
        </w:rPr>
        <w:t>culture rules and n</w:t>
      </w:r>
      <w:r>
        <w:rPr>
          <w:szCs w:val="24"/>
        </w:rPr>
        <w:t xml:space="preserve">ature submits, or vice versa... </w:t>
      </w:r>
      <w:r w:rsidRPr="006B2638">
        <w:rPr>
          <w:szCs w:val="24"/>
        </w:rPr>
        <w:t xml:space="preserve">Every being that matters is a congeries of its formative histories” (2004: 3). </w:t>
      </w:r>
    </w:p>
    <w:p w:rsidR="002D463E" w:rsidRPr="006B2638" w:rsidRDefault="002D463E" w:rsidP="002D463E">
      <w:pPr>
        <w:tabs>
          <w:tab w:val="left" w:pos="1530"/>
        </w:tabs>
        <w:contextualSpacing/>
        <w:rPr>
          <w:szCs w:val="24"/>
        </w:rPr>
      </w:pPr>
      <w:r w:rsidRPr="006B2638">
        <w:rPr>
          <w:szCs w:val="24"/>
        </w:rPr>
        <w:t xml:space="preserve"> </w:t>
      </w:r>
    </w:p>
    <w:p w:rsidR="002D463E" w:rsidRPr="006B2638" w:rsidRDefault="002D463E" w:rsidP="002D463E">
      <w:pPr>
        <w:tabs>
          <w:tab w:val="left" w:pos="1530"/>
        </w:tabs>
        <w:contextualSpacing/>
        <w:rPr>
          <w:szCs w:val="24"/>
        </w:rPr>
      </w:pPr>
      <w:r w:rsidRPr="006B2638">
        <w:rPr>
          <w:szCs w:val="24"/>
        </w:rPr>
        <w:t xml:space="preserve">The repetition of another’s body in and as one’s own holds no guarantees. </w:t>
      </w:r>
    </w:p>
    <w:p w:rsidR="002D463E" w:rsidRPr="006B2638" w:rsidRDefault="002D463E" w:rsidP="002D463E">
      <w:pPr>
        <w:tabs>
          <w:tab w:val="left" w:pos="1530"/>
        </w:tabs>
        <w:contextualSpacing/>
        <w:rPr>
          <w:szCs w:val="24"/>
        </w:rPr>
      </w:pPr>
    </w:p>
    <w:p w:rsidR="002D463E" w:rsidRPr="006B2638" w:rsidRDefault="002D463E" w:rsidP="002D463E">
      <w:pPr>
        <w:tabs>
          <w:tab w:val="left" w:pos="1530"/>
        </w:tabs>
        <w:contextualSpacing/>
        <w:rPr>
          <w:szCs w:val="24"/>
        </w:rPr>
      </w:pPr>
      <w:r w:rsidRPr="006B2638">
        <w:rPr>
          <w:szCs w:val="24"/>
        </w:rPr>
        <w:t xml:space="preserve">Donna Harraway also </w:t>
      </w:r>
      <w:r>
        <w:rPr>
          <w:szCs w:val="24"/>
        </w:rPr>
        <w:t>asks: “Who cleans up the shit in</w:t>
      </w:r>
      <w:r w:rsidRPr="006B2638">
        <w:rPr>
          <w:szCs w:val="24"/>
        </w:rPr>
        <w:t xml:space="preserve"> a companion species relation?” (2004: 317)</w:t>
      </w:r>
    </w:p>
    <w:p w:rsidR="002D463E" w:rsidRDefault="002D463E" w:rsidP="002D463E">
      <w:pPr>
        <w:tabs>
          <w:tab w:val="left" w:pos="1530"/>
        </w:tabs>
        <w:contextualSpacing/>
        <w:rPr>
          <w:szCs w:val="24"/>
        </w:rPr>
      </w:pPr>
    </w:p>
    <w:p w:rsidR="002D463E" w:rsidRPr="006B2638" w:rsidRDefault="002D463E" w:rsidP="00E35253">
      <w:pPr>
        <w:pStyle w:val="Heading3"/>
      </w:pPr>
      <w:r>
        <w:t>Repetition</w:t>
      </w:r>
      <w:r w:rsidRPr="006B2638">
        <w:t xml:space="preserve"> 5:  Sex </w:t>
      </w:r>
    </w:p>
    <w:p w:rsidR="002D463E" w:rsidRDefault="002D463E" w:rsidP="002D463E">
      <w:pPr>
        <w:contextualSpacing/>
        <w:rPr>
          <w:szCs w:val="24"/>
        </w:rPr>
      </w:pPr>
    </w:p>
    <w:p w:rsidR="002D463E" w:rsidRDefault="002D463E" w:rsidP="002D463E">
      <w:pPr>
        <w:contextualSpacing/>
      </w:pPr>
      <w:r w:rsidRPr="006B2638">
        <w:rPr>
          <w:szCs w:val="24"/>
        </w:rPr>
        <w:t>Almost all ascidians are hermaphrodites, where</w:t>
      </w:r>
      <w:hyperlink r:id="rId30" w:tooltip="Hermaphrodite" w:history="1"/>
      <w:r w:rsidRPr="006B2638">
        <w:rPr>
          <w:szCs w:val="24"/>
        </w:rPr>
        <w:t xml:space="preserve"> each animal has one testis and one ovary, and produces both ova </w:t>
      </w:r>
      <w:r w:rsidRPr="006B2638">
        <w:rPr>
          <w:rFonts w:eastAsia="Times New Roman"/>
          <w:color w:val="000000"/>
          <w:szCs w:val="24"/>
          <w:lang w:eastAsia="en-CA"/>
        </w:rPr>
        <w:t>and sperm. But in ascidian sex life, there really is no “norm.” In some colony-forming species, fertilization takes place inside an individual squirt, but development takes place in the chamber the system share</w:t>
      </w:r>
      <w:r>
        <w:rPr>
          <w:rFonts w:eastAsia="Times New Roman"/>
          <w:color w:val="000000"/>
          <w:szCs w:val="24"/>
          <w:lang w:eastAsia="en-CA"/>
        </w:rPr>
        <w:t>s</w:t>
      </w:r>
      <w:r w:rsidRPr="006B2638">
        <w:rPr>
          <w:rFonts w:eastAsia="Times New Roman"/>
          <w:color w:val="000000"/>
          <w:szCs w:val="24"/>
          <w:lang w:eastAsia="en-CA"/>
        </w:rPr>
        <w:t>. In other colonial ascidians, reproduction is asexual: buds develop and grow to full size on an adult, th</w:t>
      </w:r>
      <w:r>
        <w:rPr>
          <w:rFonts w:eastAsia="Times New Roman"/>
          <w:color w:val="000000"/>
          <w:szCs w:val="24"/>
          <w:lang w:eastAsia="en-CA"/>
        </w:rPr>
        <w:t>en break off as new individuals</w:t>
      </w:r>
      <w:r w:rsidRPr="006B2638">
        <w:rPr>
          <w:rFonts w:eastAsia="Times New Roman"/>
          <w:color w:val="000000"/>
          <w:szCs w:val="24"/>
          <w:lang w:eastAsia="en-CA"/>
        </w:rPr>
        <w:t xml:space="preserve"> (</w:t>
      </w:r>
      <w:r w:rsidRPr="006B2638">
        <w:t>“Sea Squirts: Ascidia</w:t>
      </w:r>
      <w:r>
        <w:t>cea-Behavior And Reproduction</w:t>
      </w:r>
      <w:r w:rsidRPr="006B2638">
        <w:t>”)</w:t>
      </w:r>
      <w:r>
        <w:t>.</w:t>
      </w:r>
    </w:p>
    <w:p w:rsidR="002D463E" w:rsidRPr="006B2638" w:rsidRDefault="002D463E" w:rsidP="002D463E">
      <w:pPr>
        <w:contextualSpacing/>
        <w:rPr>
          <w:szCs w:val="24"/>
        </w:rPr>
      </w:pPr>
    </w:p>
    <w:p w:rsidR="002D463E" w:rsidRPr="006B2638" w:rsidRDefault="002D463E" w:rsidP="002D463E">
      <w:pPr>
        <w:contextualSpacing/>
        <w:rPr>
          <w:b/>
          <w:szCs w:val="24"/>
        </w:rPr>
      </w:pPr>
      <w:r w:rsidRPr="006B2638">
        <w:rPr>
          <w:szCs w:val="24"/>
        </w:rPr>
        <w:t>Joan Roughgarden</w:t>
      </w:r>
      <w:r>
        <w:rPr>
          <w:szCs w:val="24"/>
        </w:rPr>
        <w:t xml:space="preserve"> (2004)</w:t>
      </w:r>
      <w:r w:rsidRPr="006B2638">
        <w:rPr>
          <w:szCs w:val="24"/>
        </w:rPr>
        <w:t>, in her work on animal sexuality, notes that according to common biology, “male” dolphins and whales are described as having no external genitals, no scrotum, but rather a pair of testes located within their body cavity. The penis is found in a “genital slit” and (unless erect) is covered by flaps (40). Biologists are quick to point out the good reasons behind this bodily architecture, namely hydrodynamic streamlining (Zimmer</w:t>
      </w:r>
      <w:r>
        <w:rPr>
          <w:szCs w:val="24"/>
        </w:rPr>
        <w:t>,</w:t>
      </w:r>
      <w:r w:rsidRPr="006B2638">
        <w:rPr>
          <w:szCs w:val="24"/>
        </w:rPr>
        <w:t xml:space="preserve"> </w:t>
      </w:r>
      <w:r>
        <w:rPr>
          <w:szCs w:val="24"/>
        </w:rPr>
        <w:t xml:space="preserve">1998: </w:t>
      </w:r>
      <w:r w:rsidRPr="006B2638">
        <w:rPr>
          <w:szCs w:val="24"/>
        </w:rPr>
        <w:t>123). Roughgarden notes, however, that this genital architecture, although “normal” in unambiguously male dolphins, would be considered a very exceptional intersex morphology in humans. She wonders if “perhaps cetaceans are on their evolutionary way to the state that hermaphroditic fish have already attained” (</w:t>
      </w:r>
      <w:r>
        <w:rPr>
          <w:szCs w:val="24"/>
        </w:rPr>
        <w:t xml:space="preserve">2004: </w:t>
      </w:r>
      <w:r w:rsidRPr="006B2638">
        <w:rPr>
          <w:szCs w:val="24"/>
        </w:rPr>
        <w:t xml:space="preserve">41). </w:t>
      </w:r>
    </w:p>
    <w:p w:rsidR="002D463E" w:rsidRPr="006B2638" w:rsidRDefault="002D463E" w:rsidP="002D463E">
      <w:pPr>
        <w:pStyle w:val="BodyText2"/>
        <w:spacing w:line="360" w:lineRule="auto"/>
        <w:contextualSpacing/>
        <w:jc w:val="both"/>
        <w:rPr>
          <w:i/>
          <w:sz w:val="24"/>
          <w:szCs w:val="24"/>
        </w:rPr>
      </w:pPr>
    </w:p>
    <w:p w:rsidR="002D463E" w:rsidRPr="00B80890" w:rsidRDefault="002D463E" w:rsidP="002D463E">
      <w:pPr>
        <w:pStyle w:val="BodyText2"/>
        <w:spacing w:line="360" w:lineRule="auto"/>
        <w:contextualSpacing/>
        <w:jc w:val="both"/>
        <w:rPr>
          <w:b w:val="0"/>
          <w:sz w:val="24"/>
          <w:szCs w:val="24"/>
        </w:rPr>
      </w:pPr>
      <w:r w:rsidRPr="00B80890">
        <w:rPr>
          <w:b w:val="0"/>
          <w:sz w:val="24"/>
          <w:szCs w:val="24"/>
        </w:rPr>
        <w:t xml:space="preserve">Charles Darwin in a letter to Thomas Huxley: “Our ancestor was an animal which breathed water, had a swim bladder, a great swimming tail, an imperfect skull, and undoubtedly was an hermaphrodite! Here is a pleasant genealogy for mankind” (quoted in Zimmer, 1998: n.p.). </w:t>
      </w:r>
    </w:p>
    <w:p w:rsidR="002D463E" w:rsidRPr="006B2638" w:rsidRDefault="002D463E" w:rsidP="002D463E">
      <w:pPr>
        <w:contextualSpacing/>
        <w:rPr>
          <w:szCs w:val="24"/>
        </w:rPr>
      </w:pPr>
    </w:p>
    <w:p w:rsidR="002D463E" w:rsidRPr="006B2638" w:rsidRDefault="002D463E" w:rsidP="00E35253">
      <w:pPr>
        <w:pStyle w:val="Heading3"/>
      </w:pPr>
      <w:r>
        <w:t>Repetition</w:t>
      </w:r>
      <w:r w:rsidRPr="006B2638">
        <w:t xml:space="preserve"> 6: Food for thought</w:t>
      </w:r>
      <w:r w:rsidRPr="006B2638">
        <w:tab/>
      </w:r>
    </w:p>
    <w:p w:rsidR="002D463E"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As I nibble at your ear, or lick the salt from your skin, I wonder: isn’t sex a mostly gustatory pleasure?</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 xml:space="preserve">Sea squirt bibimbap is a specialty of Geojae-do island, not far from Masan, in Korea, while in Greece sea squirts are eaten raw with lemon, olive oil and parsley. Sometimes known as sea pork, the French call certain ascidians as </w:t>
      </w:r>
      <w:r w:rsidRPr="006B2638">
        <w:rPr>
          <w:i/>
        </w:rPr>
        <w:t xml:space="preserve">les figues de mer </w:t>
      </w:r>
      <w:r>
        <w:t>(Wikipedia, “Ascidiacea</w:t>
      </w:r>
      <w:r w:rsidRPr="006B2638">
        <w:t>”)</w:t>
      </w:r>
      <w:r>
        <w:t>.</w:t>
      </w:r>
      <w:r w:rsidRPr="006B2638">
        <w:t xml:space="preserve">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 xml:space="preserve">Gustatory incorporation; a Derridean “eating well.”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As one environmental blogger notes, “saving our lakes and oceans from their apparently inexorable slide back to the Archean Eon” may well depend o</w:t>
      </w:r>
      <w:r>
        <w:t xml:space="preserve">n </w:t>
      </w:r>
      <w:r w:rsidRPr="006B2638">
        <w:t>developing a taste for invasive species (Grescoe</w:t>
      </w:r>
      <w:r>
        <w:t>, 2008: n.p.</w:t>
      </w:r>
      <w:r w:rsidRPr="006B2638">
        <w:t xml:space="preserve">). </w:t>
      </w:r>
    </w:p>
    <w:p w:rsidR="002D463E" w:rsidRPr="006B2638"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Bottom-dwelling fish, skates, and sharks like to eat living Sea Pork (Mitchel</w:t>
      </w:r>
      <w:r>
        <w:t>l, 2008)</w:t>
      </w:r>
      <w:r w:rsidRPr="006B2638">
        <w:t xml:space="preserve">. </w:t>
      </w:r>
    </w:p>
    <w:p w:rsidR="002D463E" w:rsidRPr="006B2638" w:rsidRDefault="002D463E" w:rsidP="002D463E">
      <w:pPr>
        <w:pStyle w:val="NormalWeb"/>
        <w:spacing w:line="360" w:lineRule="auto"/>
        <w:contextualSpacing/>
        <w:jc w:val="both"/>
      </w:pPr>
    </w:p>
    <w:p w:rsidR="002D463E" w:rsidRPr="002D463E" w:rsidRDefault="002D463E" w:rsidP="002D463E">
      <w:pPr>
        <w:pStyle w:val="NormalWeb"/>
        <w:spacing w:line="360" w:lineRule="auto"/>
        <w:contextualSpacing/>
        <w:jc w:val="both"/>
        <w:rPr>
          <w:lang w:val="fr-FR"/>
        </w:rPr>
      </w:pPr>
      <w:r w:rsidRPr="002D463E">
        <w:rPr>
          <w:lang w:val="fr-FR"/>
        </w:rPr>
        <w:t>“</w:t>
      </w:r>
      <w:r w:rsidRPr="002D463E">
        <w:rPr>
          <w:i/>
          <w:lang w:val="fr-FR"/>
        </w:rPr>
        <w:t>Il faut bien manger</w:t>
      </w:r>
      <w:r w:rsidRPr="002D463E">
        <w:rPr>
          <w:lang w:val="fr-FR"/>
        </w:rPr>
        <w:t xml:space="preserve">.” </w:t>
      </w:r>
    </w:p>
    <w:p w:rsidR="002D463E" w:rsidRPr="002D463E" w:rsidRDefault="002D463E" w:rsidP="002D463E">
      <w:pPr>
        <w:pStyle w:val="NormalWeb"/>
        <w:spacing w:line="360" w:lineRule="auto"/>
        <w:contextualSpacing/>
        <w:jc w:val="both"/>
        <w:rPr>
          <w:b/>
          <w:lang w:val="fr-FR"/>
        </w:rPr>
      </w:pPr>
    </w:p>
    <w:p w:rsidR="002D463E" w:rsidRPr="002D463E" w:rsidRDefault="002D463E" w:rsidP="00E35253">
      <w:pPr>
        <w:pStyle w:val="Heading3"/>
        <w:rPr>
          <w:lang w:val="fr-FR"/>
        </w:rPr>
      </w:pPr>
      <w:r w:rsidRPr="002D463E">
        <w:rPr>
          <w:lang w:val="fr-FR"/>
        </w:rPr>
        <w:t>Repetition 7: Indigestion</w:t>
      </w:r>
    </w:p>
    <w:p w:rsidR="002D463E" w:rsidRPr="002D463E" w:rsidRDefault="002D463E" w:rsidP="002D463E">
      <w:pPr>
        <w:pStyle w:val="NormalWeb"/>
        <w:spacing w:line="360" w:lineRule="auto"/>
        <w:contextualSpacing/>
        <w:jc w:val="both"/>
        <w:rPr>
          <w:b/>
          <w:lang w:val="fr-FR"/>
        </w:rPr>
      </w:pPr>
    </w:p>
    <w:p w:rsidR="002D463E" w:rsidRDefault="002D463E" w:rsidP="002D463E">
      <w:pPr>
        <w:contextualSpacing/>
        <w:rPr>
          <w:szCs w:val="24"/>
        </w:rPr>
      </w:pPr>
      <w:r w:rsidRPr="006B2638">
        <w:rPr>
          <w:szCs w:val="24"/>
        </w:rPr>
        <w:t>But tell that to the manatee.</w:t>
      </w:r>
    </w:p>
    <w:p w:rsidR="00C97A5A" w:rsidRPr="006B2638" w:rsidRDefault="00C97A5A" w:rsidP="002D463E">
      <w:pPr>
        <w:contextualSpacing/>
        <w:rPr>
          <w:szCs w:val="24"/>
        </w:rPr>
      </w:pPr>
    </w:p>
    <w:p w:rsidR="002D463E" w:rsidRPr="006B2638" w:rsidRDefault="002D463E" w:rsidP="002D463E">
      <w:pPr>
        <w:contextualSpacing/>
        <w:rPr>
          <w:szCs w:val="24"/>
        </w:rPr>
      </w:pPr>
    </w:p>
    <w:p w:rsidR="002D463E" w:rsidRPr="006B2638" w:rsidRDefault="002D463E" w:rsidP="00E35253">
      <w:pPr>
        <w:pStyle w:val="Heading3"/>
      </w:pPr>
      <w:r>
        <w:t>Repetition</w:t>
      </w:r>
      <w:r w:rsidRPr="006B2638">
        <w:t xml:space="preserve"> 8: Ontogeny Recapitulates Phylogeny, or This Watery Womb </w:t>
      </w:r>
    </w:p>
    <w:p w:rsidR="002D463E"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We know now that Erns</w:t>
      </w:r>
      <w:r>
        <w:rPr>
          <w:rStyle w:val="credit"/>
          <w:szCs w:val="24"/>
        </w:rPr>
        <w:t>t Haeckl was wrong—</w:t>
      </w:r>
      <w:r w:rsidRPr="006B2638">
        <w:rPr>
          <w:rStyle w:val="credit"/>
          <w:szCs w:val="24"/>
        </w:rPr>
        <w:t xml:space="preserve">ontogeny does not, as a rule, recapitulate phylogeny. The humble sea squirt, whose vertebrate larva misplaced its rocky spine somewhere along the path to maturity, is the best disclaimer of that once-held truism.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Yet what expectant human mother has not at some point imagined her fetus as</w:t>
      </w:r>
      <w:r>
        <w:rPr>
          <w:rStyle w:val="credit"/>
          <w:szCs w:val="24"/>
        </w:rPr>
        <w:t xml:space="preserve"> a</w:t>
      </w:r>
      <w:r w:rsidRPr="006B2638">
        <w:rPr>
          <w:rStyle w:val="credit"/>
          <w:szCs w:val="24"/>
        </w:rPr>
        <w:t xml:space="preserve"> tadpole, all fish eyes and fins, pre-amphibious, somersaulting its way through her amniotic seas? Our bodies: the archives of our evolutions. Her pasts literally well up inside her, time a crumpled up tissue, now responding to the sw</w:t>
      </w:r>
      <w:r>
        <w:rPr>
          <w:rStyle w:val="credit"/>
          <w:szCs w:val="24"/>
        </w:rPr>
        <w:t xml:space="preserve">ell. Something is remembered... </w:t>
      </w:r>
      <w:r w:rsidRPr="006B2638">
        <w:rPr>
          <w:rStyle w:val="credit"/>
          <w:szCs w:val="24"/>
        </w:rPr>
        <w:t xml:space="preserve">a tail reabsorbed, an aorta hooked. This is not “memory,” if memory, as Deleuze says, is the active synthesis of moments required to create a subject (1994: 70-128).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 xml:space="preserve">But if there is no teleological tending towards subjectivity, who, or what, remembers? Sandor Ferenczi, student and pen pal of </w:t>
      </w:r>
      <w:r>
        <w:rPr>
          <w:rStyle w:val="credit"/>
          <w:szCs w:val="24"/>
        </w:rPr>
        <w:t xml:space="preserve">Sigmund </w:t>
      </w:r>
      <w:r w:rsidRPr="006B2638">
        <w:rPr>
          <w:rStyle w:val="credit"/>
          <w:szCs w:val="24"/>
        </w:rPr>
        <w:t>Freud, suggested that dreams of water recall not only the trauma of birth, as we are expelled from our mothers’ wombs, but also the phylogenetic “catastrophe of the recession of oceans” (Ferenczi</w:t>
      </w:r>
      <w:r>
        <w:rPr>
          <w:rStyle w:val="credit"/>
          <w:szCs w:val="24"/>
        </w:rPr>
        <w:t>,</w:t>
      </w:r>
      <w:r w:rsidRPr="006B2638">
        <w:rPr>
          <w:rStyle w:val="credit"/>
          <w:szCs w:val="24"/>
        </w:rPr>
        <w:t xml:space="preserve"> </w:t>
      </w:r>
      <w:r>
        <w:rPr>
          <w:rStyle w:val="credit"/>
          <w:szCs w:val="24"/>
        </w:rPr>
        <w:t xml:space="preserve">2005: </w:t>
      </w:r>
      <w:r w:rsidRPr="006B2638">
        <w:rPr>
          <w:rStyle w:val="credit"/>
          <w:szCs w:val="24"/>
        </w:rPr>
        <w:t xml:space="preserve">102), a loss we tetrapods have shouldered for millennia. Our traumas are personal, but they are geological as well, Ferenczi says. Desire, loss and relationality are biological phenomena, as much as they are cultural. Our organs—that is “mere biological matter” thinks, problem-solves, remembers. Ferenczi (perhaps also remembering a future still-to-come) called this a matter of the biological unconscious. Freud, apparently, was not impressed.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Sea squirts, I repeat, are widely manifest as invasive species.</w:t>
      </w:r>
    </w:p>
    <w:p w:rsidR="002D463E" w:rsidRPr="006B2638" w:rsidRDefault="002D463E" w:rsidP="002D463E">
      <w:pPr>
        <w:contextualSpacing/>
        <w:rPr>
          <w:szCs w:val="24"/>
        </w:rPr>
      </w:pPr>
    </w:p>
    <w:p w:rsidR="002D463E" w:rsidRPr="006B2638" w:rsidRDefault="002D463E" w:rsidP="002D463E">
      <w:pPr>
        <w:contextualSpacing/>
        <w:rPr>
          <w:rStyle w:val="credit"/>
          <w:szCs w:val="24"/>
        </w:rPr>
      </w:pPr>
      <w:r w:rsidRPr="006B2638">
        <w:rPr>
          <w:rStyle w:val="credit"/>
          <w:szCs w:val="24"/>
        </w:rPr>
        <w:t xml:space="preserve">My body was invaded, recolonized three times.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But while the gestational body remembers (thinks, problem-solves), how are we to understan</w:t>
      </w:r>
      <w:r>
        <w:rPr>
          <w:rStyle w:val="credit"/>
          <w:szCs w:val="24"/>
        </w:rPr>
        <w:t>d the sea squirt’s forgetting—</w:t>
      </w:r>
      <w:r w:rsidRPr="006B2638">
        <w:rPr>
          <w:rStyle w:val="credit"/>
          <w:szCs w:val="24"/>
        </w:rPr>
        <w:t xml:space="preserve">the forgetting of a vertebrate future that for this creature quickly slips away as a morphogenetic past, the brain and the tail consumed, eaten by the developing self? Autotrophy? In a manner of speaking. Chordate futurity digesting in the body, waiting to be selected.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 xml:space="preserve">Past and future, collide and switch. Like those rarest of rivers, repetition flows both ways. </w:t>
      </w:r>
    </w:p>
    <w:p w:rsidR="002D463E" w:rsidRPr="006B2638" w:rsidRDefault="002D463E" w:rsidP="002D463E">
      <w:pPr>
        <w:contextualSpacing/>
        <w:rPr>
          <w:rStyle w:val="credit"/>
          <w:b/>
          <w:szCs w:val="24"/>
        </w:rPr>
      </w:pPr>
    </w:p>
    <w:p w:rsidR="002D463E" w:rsidRPr="00E35253" w:rsidRDefault="002D463E" w:rsidP="00E35253">
      <w:pPr>
        <w:pStyle w:val="Heading3"/>
        <w:rPr>
          <w:rStyle w:val="credit"/>
          <w:bCs w:val="0"/>
        </w:rPr>
      </w:pPr>
      <w:r w:rsidRPr="00E35253">
        <w:rPr>
          <w:rStyle w:val="credit"/>
          <w:bCs w:val="0"/>
        </w:rPr>
        <w:t>Repetition 9: Reproduction</w:t>
      </w:r>
    </w:p>
    <w:p w:rsidR="002D463E" w:rsidRDefault="002D463E" w:rsidP="002D463E">
      <w:pPr>
        <w:contextualSpacing/>
        <w:rPr>
          <w:rStyle w:val="credit"/>
          <w:szCs w:val="24"/>
        </w:rPr>
      </w:pPr>
    </w:p>
    <w:p w:rsidR="002D463E" w:rsidRPr="006B2638" w:rsidRDefault="002D463E" w:rsidP="002D463E">
      <w:pPr>
        <w:contextualSpacing/>
        <w:rPr>
          <w:rStyle w:val="credit"/>
          <w:b/>
          <w:szCs w:val="24"/>
        </w:rPr>
      </w:pPr>
      <w:r w:rsidRPr="006B2638">
        <w:rPr>
          <w:rStyle w:val="credit"/>
          <w:szCs w:val="24"/>
        </w:rPr>
        <w:t>Lately, ascidians have garnered particular attention: they harbour an antigen-producing microbe that can treat cancer. Far more potent than traditional chemotherapy, “a</w:t>
      </w:r>
      <w:r w:rsidRPr="006B2638">
        <w:rPr>
          <w:szCs w:val="24"/>
        </w:rPr>
        <w:t xml:space="preserve"> mere 11 pounds of the drug would satisfy world demand for a year” (Cromie</w:t>
      </w:r>
      <w:r>
        <w:rPr>
          <w:szCs w:val="24"/>
        </w:rPr>
        <w:t>,</w:t>
      </w:r>
      <w:r w:rsidRPr="006B2638">
        <w:rPr>
          <w:szCs w:val="24"/>
        </w:rPr>
        <w:t xml:space="preserve"> 2002</w:t>
      </w:r>
      <w:r>
        <w:rPr>
          <w:szCs w:val="24"/>
        </w:rPr>
        <w:t>: n.p.</w:t>
      </w:r>
      <w:r w:rsidRPr="006B2638">
        <w:rPr>
          <w:szCs w:val="24"/>
        </w:rPr>
        <w:t>).</w:t>
      </w:r>
      <w:r w:rsidRPr="006B2638">
        <w:rPr>
          <w:rStyle w:val="credit"/>
          <w:szCs w:val="24"/>
        </w:rPr>
        <w:t xml:space="preserve">  </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 xml:space="preserve">Sea squirt derived antigens were initially tested on patients with breast, ovarian and connective tissue tumors. </w:t>
      </w:r>
      <w:r w:rsidRPr="006B2638">
        <w:rPr>
          <w:szCs w:val="24"/>
        </w:rPr>
        <w:t>It is unclear why certain highly gendered cancers are particularly responsive to sea</w:t>
      </w:r>
      <w:r>
        <w:rPr>
          <w:szCs w:val="24"/>
        </w:rPr>
        <w:t>-squirt derivatives. I wonder: W</w:t>
      </w:r>
      <w:r w:rsidRPr="006B2638">
        <w:rPr>
          <w:szCs w:val="24"/>
        </w:rPr>
        <w:t>hat assemblages are forming that specifically link oceanic life to the repair of organic communication</w:t>
      </w:r>
      <w:r w:rsidRPr="006B2638">
        <w:rPr>
          <w:rStyle w:val="FootnoteReference"/>
        </w:rPr>
        <w:footnoteReference w:id="45"/>
      </w:r>
      <w:r w:rsidRPr="006B2638">
        <w:rPr>
          <w:szCs w:val="24"/>
        </w:rPr>
        <w:t xml:space="preserve"> breakdown within women’s gestational zones? </w:t>
      </w:r>
      <w:r w:rsidRPr="006B2638">
        <w:rPr>
          <w:rStyle w:val="credit"/>
          <w:szCs w:val="24"/>
        </w:rPr>
        <w:t>The rhythm of a sea creature, echoing through the womb.</w:t>
      </w:r>
    </w:p>
    <w:p w:rsidR="002D463E" w:rsidRPr="006B2638" w:rsidRDefault="002D463E" w:rsidP="002D463E">
      <w:pPr>
        <w:contextualSpacing/>
        <w:rPr>
          <w:rStyle w:val="credit"/>
          <w:szCs w:val="24"/>
        </w:rPr>
      </w:pPr>
    </w:p>
    <w:p w:rsidR="002D463E" w:rsidRPr="006B2638" w:rsidRDefault="002D463E" w:rsidP="002D463E">
      <w:pPr>
        <w:contextualSpacing/>
        <w:rPr>
          <w:rStyle w:val="credit"/>
          <w:szCs w:val="24"/>
        </w:rPr>
      </w:pPr>
      <w:r w:rsidRPr="006B2638">
        <w:rPr>
          <w:rStyle w:val="credit"/>
          <w:szCs w:val="24"/>
        </w:rPr>
        <w:t>But if there is no original, no point, no body, no beginning of beginnings from which it all started, then womb, too, is already a repetition, a becoming, an unfolding. Womb and water; water and womb. Watery life gestating possibilities for other watery life yet-to-come, for life that might-not-have-been.</w:t>
      </w:r>
      <w:r w:rsidRPr="006B2638">
        <w:rPr>
          <w:rStyle w:val="FootnoteReference"/>
        </w:rPr>
        <w:footnoteReference w:id="46"/>
      </w:r>
      <w:r w:rsidRPr="006B2638">
        <w:rPr>
          <w:rStyle w:val="credit"/>
          <w:szCs w:val="24"/>
        </w:rPr>
        <w:t xml:space="preserve"> </w:t>
      </w:r>
    </w:p>
    <w:p w:rsidR="002D463E" w:rsidRPr="006B2638" w:rsidRDefault="002D463E" w:rsidP="002D463E">
      <w:pPr>
        <w:contextualSpacing/>
        <w:rPr>
          <w:b/>
          <w:szCs w:val="24"/>
        </w:rPr>
      </w:pPr>
    </w:p>
    <w:p w:rsidR="002D463E" w:rsidRPr="00E35253" w:rsidRDefault="002D463E" w:rsidP="00E35253">
      <w:pPr>
        <w:pStyle w:val="Heading3"/>
        <w:rPr>
          <w:szCs w:val="26"/>
        </w:rPr>
      </w:pPr>
      <w:r>
        <w:t>Repetition</w:t>
      </w:r>
      <w:r w:rsidRPr="006B2638">
        <w:t xml:space="preserve"> 10:  Water/Milieu </w:t>
      </w:r>
    </w:p>
    <w:p w:rsidR="00E35253" w:rsidRDefault="00E35253" w:rsidP="002D463E">
      <w:pPr>
        <w:tabs>
          <w:tab w:val="right" w:pos="9360"/>
        </w:tabs>
        <w:contextualSpacing/>
        <w:rPr>
          <w:szCs w:val="24"/>
        </w:rPr>
      </w:pPr>
    </w:p>
    <w:p w:rsidR="002D463E" w:rsidRPr="006B2638" w:rsidRDefault="002D463E" w:rsidP="002D463E">
      <w:pPr>
        <w:tabs>
          <w:tab w:val="right" w:pos="9360"/>
        </w:tabs>
        <w:contextualSpacing/>
        <w:rPr>
          <w:szCs w:val="24"/>
        </w:rPr>
      </w:pPr>
      <w:r w:rsidRPr="006B2638">
        <w:rPr>
          <w:szCs w:val="24"/>
        </w:rPr>
        <w:t>“Evolution,” Deleuze reminds us, “does not take place in the open air” (1994: 118).</w:t>
      </w:r>
      <w:r w:rsidRPr="006B2638">
        <w:rPr>
          <w:szCs w:val="24"/>
        </w:rPr>
        <w:tab/>
      </w:r>
    </w:p>
    <w:p w:rsidR="00E35253" w:rsidRDefault="00E35253" w:rsidP="002D463E">
      <w:pPr>
        <w:pStyle w:val="NormalWeb"/>
        <w:spacing w:line="360" w:lineRule="auto"/>
        <w:contextualSpacing/>
        <w:jc w:val="both"/>
        <w:rPr>
          <w:rFonts w:eastAsia="SimSun" w:cs="System"/>
          <w:lang w:val="en-GB" w:eastAsia="zh-CN"/>
        </w:rPr>
      </w:pPr>
    </w:p>
    <w:p w:rsidR="002D463E" w:rsidRPr="006B2638" w:rsidRDefault="002D463E" w:rsidP="002D463E">
      <w:pPr>
        <w:pStyle w:val="NormalWeb"/>
        <w:spacing w:line="360" w:lineRule="auto"/>
        <w:contextualSpacing/>
        <w:jc w:val="both"/>
      </w:pPr>
      <w:r w:rsidRPr="006B2638">
        <w:t xml:space="preserve">As researcher Matthew Fletcher notes, "The marine environment is a realm of biological and chemical </w:t>
      </w:r>
      <w:r>
        <w:t xml:space="preserve">diversity, and marine organisms... </w:t>
      </w:r>
      <w:r w:rsidRPr="006B2638">
        <w:t>are a rich source of intriguing and unusual molecules with the potential to become powerful drugs" (BBC</w:t>
      </w:r>
      <w:r>
        <w:t>,</w:t>
      </w:r>
      <w:r w:rsidRPr="006B2638">
        <w:t xml:space="preserve"> 2005).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Musing aga</w:t>
      </w:r>
      <w:r>
        <w:rPr>
          <w:szCs w:val="24"/>
        </w:rPr>
        <w:t xml:space="preserve">in on hermaphroditic fish, </w:t>
      </w:r>
      <w:r w:rsidRPr="006B2638">
        <w:rPr>
          <w:szCs w:val="24"/>
        </w:rPr>
        <w:t xml:space="preserve">Roughgarden wonders why it is that oceanic environments, unlike life on land, </w:t>
      </w:r>
      <w:r>
        <w:rPr>
          <w:szCs w:val="24"/>
        </w:rPr>
        <w:t xml:space="preserve">that </w:t>
      </w:r>
      <w:r w:rsidRPr="006B2638">
        <w:rPr>
          <w:szCs w:val="24"/>
        </w:rPr>
        <w:t>seem to be so accommodating—and even facilitative of—diverse sexuality (31). What repeats?</w:t>
      </w:r>
    </w:p>
    <w:p w:rsidR="002D463E" w:rsidRPr="006B2638" w:rsidRDefault="002D463E" w:rsidP="002D463E">
      <w:pPr>
        <w:contextualSpacing/>
        <w:rPr>
          <w:szCs w:val="24"/>
        </w:rPr>
      </w:pPr>
    </w:p>
    <w:p w:rsidR="002D463E" w:rsidRPr="006B2638" w:rsidRDefault="002D463E" w:rsidP="002D463E">
      <w:pPr>
        <w:contextualSpacing/>
        <w:rPr>
          <w:rStyle w:val="credit"/>
          <w:b/>
          <w:szCs w:val="24"/>
        </w:rPr>
      </w:pPr>
      <w:r w:rsidRPr="006B2638">
        <w:rPr>
          <w:szCs w:val="24"/>
        </w:rPr>
        <w:t>An exterior milieu, now folded inside. Not only the sea, but a congeries of bodies, of species, each the evolutionary gestational milieu for an other. We are all watery bodies, constantly selecting, reinventing, repeating one another, from precipitation to primordial soup.</w:t>
      </w:r>
    </w:p>
    <w:p w:rsidR="002D463E" w:rsidRPr="006B2638" w:rsidRDefault="002D463E" w:rsidP="002D463E">
      <w:pPr>
        <w:contextualSpacing/>
        <w:rPr>
          <w:rStyle w:val="credit"/>
          <w:b/>
          <w:szCs w:val="24"/>
        </w:rPr>
      </w:pPr>
    </w:p>
    <w:p w:rsidR="002D463E" w:rsidRPr="00E35253" w:rsidRDefault="002D463E" w:rsidP="00E35253">
      <w:pPr>
        <w:pStyle w:val="Heading3"/>
        <w:rPr>
          <w:rStyle w:val="credit"/>
          <w:bCs w:val="0"/>
        </w:rPr>
      </w:pPr>
      <w:r w:rsidRPr="00E35253">
        <w:rPr>
          <w:rStyle w:val="credit"/>
          <w:bCs w:val="0"/>
        </w:rPr>
        <w:t>Repetition 11: Oikos</w:t>
      </w:r>
    </w:p>
    <w:p w:rsidR="002D463E" w:rsidRDefault="002D463E" w:rsidP="002D463E">
      <w:pPr>
        <w:widowControl w:val="0"/>
        <w:autoSpaceDE w:val="0"/>
        <w:autoSpaceDN w:val="0"/>
        <w:adjustRightInd w:val="0"/>
        <w:contextualSpacing/>
        <w:textAlignment w:val="center"/>
        <w:rPr>
          <w:szCs w:val="24"/>
        </w:rPr>
      </w:pPr>
    </w:p>
    <w:p w:rsidR="002D463E" w:rsidRPr="006B2638" w:rsidRDefault="002D463E" w:rsidP="002D463E">
      <w:pPr>
        <w:widowControl w:val="0"/>
        <w:autoSpaceDE w:val="0"/>
        <w:autoSpaceDN w:val="0"/>
        <w:adjustRightInd w:val="0"/>
        <w:contextualSpacing/>
        <w:textAlignment w:val="center"/>
        <w:rPr>
          <w:szCs w:val="24"/>
        </w:rPr>
      </w:pPr>
      <w:r w:rsidRPr="006B2638">
        <w:rPr>
          <w:szCs w:val="24"/>
        </w:rPr>
        <w:t xml:space="preserve">The anti-cancer drugs derived from sea squirt compounds inaugurate flows of power between ascidian life, specific bodies in pain, and multinational pharmaceutical companies. To whose advantage are sea squirt bodies being commandeered? </w:t>
      </w:r>
    </w:p>
    <w:p w:rsidR="002D463E" w:rsidRPr="006B2638" w:rsidRDefault="002D463E" w:rsidP="002D463E">
      <w:pPr>
        <w:widowControl w:val="0"/>
        <w:autoSpaceDE w:val="0"/>
        <w:autoSpaceDN w:val="0"/>
        <w:adjustRightInd w:val="0"/>
        <w:contextualSpacing/>
        <w:textAlignment w:val="center"/>
        <w:rPr>
          <w:rStyle w:val="middle"/>
          <w:rFonts w:cs="Times New Roman"/>
          <w:i/>
        </w:rPr>
      </w:pPr>
    </w:p>
    <w:p w:rsidR="002D463E" w:rsidRPr="006B2638" w:rsidRDefault="002D463E" w:rsidP="002D463E">
      <w:pPr>
        <w:widowControl w:val="0"/>
        <w:autoSpaceDE w:val="0"/>
        <w:autoSpaceDN w:val="0"/>
        <w:adjustRightInd w:val="0"/>
        <w:contextualSpacing/>
        <w:textAlignment w:val="center"/>
        <w:rPr>
          <w:rStyle w:val="middle"/>
          <w:rFonts w:cs="Times New Roman"/>
        </w:rPr>
      </w:pPr>
      <w:r w:rsidRPr="006B2638">
        <w:rPr>
          <w:rStyle w:val="middle"/>
          <w:rFonts w:cs="Times New Roman"/>
          <w:i/>
        </w:rPr>
        <w:t>“Oikos</w:t>
      </w:r>
      <w:r w:rsidRPr="006B2638">
        <w:rPr>
          <w:rStyle w:val="middle"/>
          <w:rFonts w:cs="Times New Roman"/>
        </w:rPr>
        <w:t xml:space="preserve"> is Greek for “dwelling” and becomes the prefix “eco” that is common to both ecology (the logic of dwelling) and econo</w:t>
      </w:r>
      <w:r>
        <w:rPr>
          <w:rStyle w:val="middle"/>
          <w:rFonts w:cs="Times New Roman"/>
        </w:rPr>
        <w:t>my (the management of dwelling)</w:t>
      </w:r>
      <w:r w:rsidRPr="006B2638">
        <w:rPr>
          <w:rStyle w:val="middle"/>
          <w:rFonts w:cs="Times New Roman"/>
        </w:rPr>
        <w:t>” (Chen</w:t>
      </w:r>
      <w:r>
        <w:rPr>
          <w:rStyle w:val="middle"/>
          <w:rFonts w:cs="Times New Roman"/>
        </w:rPr>
        <w:t>,</w:t>
      </w:r>
      <w:r w:rsidRPr="006B2638">
        <w:rPr>
          <w:rStyle w:val="middle"/>
          <w:rFonts w:cs="Times New Roman"/>
        </w:rPr>
        <w:t xml:space="preserve"> 2010). So why is it, asks Cecilia Chen, that we treat these as separate considerations?  </w:t>
      </w:r>
    </w:p>
    <w:p w:rsidR="002D463E" w:rsidRPr="006B2638" w:rsidRDefault="002D463E" w:rsidP="002D463E">
      <w:pPr>
        <w:contextualSpacing/>
        <w:rPr>
          <w:szCs w:val="24"/>
        </w:rPr>
      </w:pPr>
    </w:p>
    <w:p w:rsidR="002D463E" w:rsidRDefault="002D463E" w:rsidP="002D463E">
      <w:pPr>
        <w:contextualSpacing/>
        <w:rPr>
          <w:szCs w:val="24"/>
        </w:rPr>
      </w:pPr>
      <w:r w:rsidRPr="006B2638">
        <w:rPr>
          <w:szCs w:val="24"/>
        </w:rPr>
        <w:t>The sea-squirt derived antigens were synthesized by a postdoctoral fellow at Harvard, named David Gin, in the lab of Nobel Prize winning chemist Elias J. Corey (Cromie</w:t>
      </w:r>
      <w:r>
        <w:rPr>
          <w:szCs w:val="24"/>
        </w:rPr>
        <w:t>,</w:t>
      </w:r>
      <w:r w:rsidRPr="006B2638">
        <w:rPr>
          <w:szCs w:val="24"/>
        </w:rPr>
        <w:t xml:space="preserve"> 2000). Gin, a native Vancouverite, now works at the Sloan-Kettering Institute in Chicago, having left Corey’s lab to build a superstar career in molecular biology. Ownership of the patent remained Harvard University’s, while the commercial license of the cancer-treating drug is owned by Portuguese pharmaceutical company, PharmaMar. Meanwhile, 0.25 mg (about 5 doses) of Yondelis—the antigen’s trade name retails for about 1000 Euros. </w:t>
      </w:r>
    </w:p>
    <w:p w:rsidR="002D463E" w:rsidRDefault="002D463E" w:rsidP="002D463E">
      <w:pPr>
        <w:contextualSpacing/>
        <w:rPr>
          <w:szCs w:val="24"/>
        </w:rPr>
      </w:pPr>
    </w:p>
    <w:p w:rsidR="002D463E" w:rsidRDefault="002D463E" w:rsidP="002D463E">
      <w:pPr>
        <w:contextualSpacing/>
        <w:rPr>
          <w:szCs w:val="24"/>
        </w:rPr>
      </w:pPr>
      <w:r w:rsidRPr="006B2638">
        <w:rPr>
          <w:szCs w:val="24"/>
        </w:rPr>
        <w:t>(In a context of globalization, is sovereignty an invasive species? Capitalism?)</w:t>
      </w:r>
      <w:r>
        <w:rPr>
          <w:rStyle w:val="FootnoteReference"/>
        </w:rPr>
        <w:footnoteReference w:id="47"/>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Ecofeminist Susan Hawthorne (2007) has analyzed the key confluences of bioprospecting: on the one hand, animal and plant life is prospected from the rivers and oceans, while on the other, biological data and matter is prospected from the bodies of women, isolated and indigenous peoples, and people with disabilities and chronic disease. All </w:t>
      </w:r>
      <w:r>
        <w:rPr>
          <w:szCs w:val="24"/>
        </w:rPr>
        <w:t>of these bodies are reduced to “resources”</w:t>
      </w:r>
      <w:r w:rsidRPr="006B2638">
        <w:rPr>
          <w:szCs w:val="24"/>
        </w:rPr>
        <w:t xml:space="preserve"> to bring profit to the globally</w:t>
      </w:r>
      <w:r>
        <w:rPr>
          <w:szCs w:val="24"/>
        </w:rPr>
        <w:t xml:space="preserve"> powerful, who then sell their “discoveries”</w:t>
      </w:r>
      <w:r w:rsidRPr="006B2638">
        <w:rPr>
          <w:szCs w:val="24"/>
        </w:rPr>
        <w:t xml:space="preserve"> back </w:t>
      </w:r>
      <w:r>
        <w:rPr>
          <w:szCs w:val="24"/>
        </w:rPr>
        <w:t xml:space="preserve">to </w:t>
      </w:r>
      <w:r w:rsidRPr="006B2638">
        <w:rPr>
          <w:szCs w:val="24"/>
        </w:rPr>
        <w:t>those very same</w:t>
      </w:r>
      <w:r>
        <w:rPr>
          <w:szCs w:val="24"/>
        </w:rPr>
        <w:t xml:space="preserve"> resource-bodies who have been “prospected.”</w:t>
      </w:r>
      <w:r w:rsidRPr="006B2638">
        <w:rPr>
          <w:szCs w:val="24"/>
        </w:rPr>
        <w:t xml:space="preserve">  Not only </w:t>
      </w:r>
      <w:r w:rsidRPr="006B2638">
        <w:rPr>
          <w:i/>
          <w:szCs w:val="24"/>
        </w:rPr>
        <w:t>how</w:t>
      </w:r>
      <w:r w:rsidRPr="006B2638">
        <w:rPr>
          <w:szCs w:val="24"/>
        </w:rPr>
        <w:t xml:space="preserve"> is the sea squirt repeating, then, but: </w:t>
      </w:r>
      <w:r w:rsidRPr="006B2638">
        <w:rPr>
          <w:i/>
          <w:szCs w:val="24"/>
        </w:rPr>
        <w:t>for whom</w:t>
      </w:r>
      <w:r w:rsidRPr="006B2638">
        <w:rPr>
          <w:szCs w:val="24"/>
        </w:rPr>
        <w:t>?</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On May 14, 2010, I attended the funeral of Barbara Godard and her cancer-addled gestational zones. I still experience the immediate grief of losing that singular, irreplaceable body.</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“Repetition,” writes Deleuze, in the opening sentence of </w:t>
      </w:r>
      <w:r w:rsidRPr="006B2638">
        <w:rPr>
          <w:i/>
          <w:szCs w:val="24"/>
        </w:rPr>
        <w:t>Difference and Repetition</w:t>
      </w:r>
      <w:r>
        <w:rPr>
          <w:szCs w:val="24"/>
        </w:rPr>
        <w:t xml:space="preserve">, “is not generality.... </w:t>
      </w:r>
      <w:r w:rsidRPr="006B2638">
        <w:rPr>
          <w:szCs w:val="24"/>
        </w:rPr>
        <w:t xml:space="preserve">If exchange is the criterion of generality, theft and gift are those of repetition. There is, therefore, an </w:t>
      </w:r>
      <w:r w:rsidRPr="006B2638">
        <w:rPr>
          <w:i/>
          <w:szCs w:val="24"/>
        </w:rPr>
        <w:t>economic</w:t>
      </w:r>
      <w:r w:rsidRPr="006B2638">
        <w:rPr>
          <w:szCs w:val="24"/>
        </w:rPr>
        <w:t xml:space="preserve"> difference between the two” (1994: 1). </w:t>
      </w:r>
    </w:p>
    <w:p w:rsidR="002D463E" w:rsidRPr="006B2638" w:rsidRDefault="002D463E" w:rsidP="002D463E">
      <w:pPr>
        <w:contextualSpacing/>
        <w:rPr>
          <w:szCs w:val="24"/>
        </w:rPr>
      </w:pPr>
    </w:p>
    <w:p w:rsidR="002D463E" w:rsidRPr="006B2638" w:rsidRDefault="002D463E" w:rsidP="00E35253">
      <w:pPr>
        <w:pStyle w:val="Heading3"/>
      </w:pPr>
      <w:r>
        <w:t>Repetition</w:t>
      </w:r>
      <w:r w:rsidRPr="006B2638">
        <w:t xml:space="preserve"> 12: Memory</w:t>
      </w:r>
    </w:p>
    <w:p w:rsidR="002D463E" w:rsidRDefault="002D463E" w:rsidP="002D463E">
      <w:pPr>
        <w:contextualSpacing/>
        <w:rPr>
          <w:szCs w:val="24"/>
        </w:rPr>
      </w:pPr>
    </w:p>
    <w:p w:rsidR="002D463E" w:rsidRPr="006B2638" w:rsidRDefault="002D463E" w:rsidP="002D463E">
      <w:pPr>
        <w:contextualSpacing/>
        <w:rPr>
          <w:szCs w:val="24"/>
        </w:rPr>
      </w:pPr>
      <w:r w:rsidRPr="006B2638">
        <w:rPr>
          <w:szCs w:val="24"/>
        </w:rPr>
        <w:t xml:space="preserve">Or, what might it mean to say that the sea squirt remembers?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“Analys</w:t>
      </w:r>
      <w:r>
        <w:rPr>
          <w:szCs w:val="24"/>
        </w:rPr>
        <w:t xml:space="preserve">es of tissue transplantation... </w:t>
      </w:r>
      <w:r w:rsidRPr="006B2638">
        <w:rPr>
          <w:szCs w:val="24"/>
        </w:rPr>
        <w:t>have shown that many invertebrates, including tunicates [also known as sea squirts], possess a precise capacity to recognize and reject foreign tissue...” That is to say, they “exhibit immunological memory” (Cooper and Parrinello</w:t>
      </w:r>
      <w:r>
        <w:rPr>
          <w:szCs w:val="24"/>
        </w:rPr>
        <w:t>, 2001:</w:t>
      </w:r>
      <w:r w:rsidRPr="006B2638">
        <w:rPr>
          <w:szCs w:val="24"/>
        </w:rPr>
        <w:t xml:space="preserve"> 385).</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When exposed to light stimuli, ascidian larvae exhibit a photophobic response, and begin swimming faster. “Preliminary work showed ascidian larvae can storage this memory for one minute” (Tsuda et. al.</w:t>
      </w:r>
      <w:r>
        <w:rPr>
          <w:szCs w:val="24"/>
        </w:rPr>
        <w:t>, 2001:</w:t>
      </w:r>
      <w:r w:rsidRPr="006B2638">
        <w:rPr>
          <w:szCs w:val="24"/>
        </w:rPr>
        <w:t>156).</w:t>
      </w:r>
    </w:p>
    <w:p w:rsidR="002D463E" w:rsidRPr="006B2638" w:rsidRDefault="002D463E" w:rsidP="002D463E">
      <w:pPr>
        <w:contextualSpacing/>
        <w:rPr>
          <w:szCs w:val="24"/>
        </w:rPr>
      </w:pPr>
    </w:p>
    <w:p w:rsidR="002D463E" w:rsidRPr="006B2638" w:rsidRDefault="002D463E" w:rsidP="002D463E">
      <w:pPr>
        <w:contextualSpacing/>
        <w:rPr>
          <w:szCs w:val="24"/>
        </w:rPr>
      </w:pPr>
      <w:r>
        <w:rPr>
          <w:szCs w:val="24"/>
        </w:rPr>
        <w:t>Science—</w:t>
      </w:r>
      <w:r w:rsidRPr="006B2638">
        <w:rPr>
          <w:szCs w:val="24"/>
        </w:rPr>
        <w:t>o</w:t>
      </w:r>
      <w:r>
        <w:rPr>
          <w:szCs w:val="24"/>
        </w:rPr>
        <w:t>r is it philosophy?—</w:t>
      </w:r>
      <w:r w:rsidRPr="006B2638">
        <w:rPr>
          <w:szCs w:val="24"/>
        </w:rPr>
        <w:t xml:space="preserve">makes ascidians remember.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In May 2010, biologists Michael Virata and Robert Zeller reported a breakthrough in Alzheimers Disease research: scientists can use expressly bred transgenic ascidian larva as a useful homolog to studying Alzeheimer’s disease in human patients. After identifying and manipulating certain gene structures in the sea squirt larva, scientists can observe patterns of certain plague formations that provide valuable information about the development of Alzeheimers and its treatment (Virata and Zeller</w:t>
      </w:r>
      <w:r>
        <w:rPr>
          <w:szCs w:val="24"/>
        </w:rPr>
        <w:t>,</w:t>
      </w:r>
      <w:r w:rsidRPr="006B2638">
        <w:rPr>
          <w:szCs w:val="24"/>
        </w:rPr>
        <w:t xml:space="preserve"> 2010). </w:t>
      </w:r>
    </w:p>
    <w:p w:rsidR="002D463E" w:rsidRPr="006B2638" w:rsidRDefault="002D463E" w:rsidP="002D463E">
      <w:pPr>
        <w:contextualSpacing/>
        <w:rPr>
          <w:szCs w:val="24"/>
        </w:rPr>
      </w:pPr>
    </w:p>
    <w:p w:rsidR="002D463E" w:rsidRDefault="002D463E" w:rsidP="002D463E">
      <w:pPr>
        <w:contextualSpacing/>
        <w:rPr>
          <w:szCs w:val="24"/>
        </w:rPr>
      </w:pPr>
      <w:r w:rsidRPr="006B2638">
        <w:rPr>
          <w:szCs w:val="24"/>
        </w:rPr>
        <w:t>The suitability of sea squirts to this task is in part based on our evolutionary affinity: “Ascidians are likely to share a larger number of genes with humans that are not present in other invertebrates,” explain Virata and Zeller. “To our knowledge, this is the first invertebrate model system in which orthologs for all the genes implicated in APP processing have been identified.”</w:t>
      </w:r>
    </w:p>
    <w:p w:rsidR="00A40BF4" w:rsidRPr="006B2638" w:rsidRDefault="00A40BF4" w:rsidP="002D463E">
      <w:pPr>
        <w:contextualSpacing/>
        <w:rPr>
          <w:szCs w:val="24"/>
        </w:rPr>
      </w:pPr>
    </w:p>
    <w:p w:rsidR="002D463E" w:rsidRPr="006B2638" w:rsidRDefault="002D463E" w:rsidP="00A40BF4">
      <w:pPr>
        <w:pStyle w:val="Quote"/>
      </w:pPr>
      <w:r w:rsidRPr="006B2638">
        <w:t>“Mice have [also] been used extensively as Alzheimers’ animal models owing to the similari</w:t>
      </w:r>
      <w:r>
        <w:t>ty with the human brain anatomy</w:t>
      </w:r>
      <w:r w:rsidRPr="006B2638">
        <w:t>...” (n</w:t>
      </w:r>
      <w:r>
        <w:t>.</w:t>
      </w:r>
      <w:r w:rsidRPr="006B2638">
        <w:t>p</w:t>
      </w:r>
      <w:r>
        <w:t>.</w:t>
      </w:r>
      <w:r w:rsidRPr="006B2638">
        <w:t>) they continue. But “Transgenic mice models take, on average, eight months to display any</w:t>
      </w:r>
      <w:r>
        <w:t xml:space="preserve"> observable plaque phenotype...</w:t>
      </w:r>
      <w:r w:rsidRPr="006B2638">
        <w:t>Because of their rapid development, the use of invertebrate model systems, such as worms and flies, has reduced the time for plaque formation down to several weeks. Our results in the asci</w:t>
      </w:r>
      <w:r>
        <w:t xml:space="preserve">dian demonstrate that this time... </w:t>
      </w:r>
      <w:r w:rsidRPr="006B2638">
        <w:t>can be reduced to less than a day” (n</w:t>
      </w:r>
      <w:r>
        <w:t>.</w:t>
      </w:r>
      <w:r w:rsidRPr="006B2638">
        <w:t>p</w:t>
      </w:r>
      <w:r>
        <w:t>.</w:t>
      </w:r>
      <w:r w:rsidRPr="006B2638">
        <w:t>). Virata and Zeller add: “Generating transgenic mice is not only time intensive but also costly” (n</w:t>
      </w:r>
      <w:r>
        <w:t>.</w:t>
      </w:r>
      <w:r w:rsidRPr="006B2638">
        <w:t>p</w:t>
      </w:r>
      <w:r>
        <w:t>.</w:t>
      </w:r>
      <w:r w:rsidRPr="006B2638">
        <w:t xml:space="preserve">).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That is to say, in the name of money and speed, sea squirts are losing their minds.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“I do not repeat because I repress. I repress because I repeat, I forget because I repeat. I repress, because I can live certain things or certain experiences only in the mode of repetition” (Deleuze 1994: 18).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 xml:space="preserve">So what might it mean to say that the sea squirt remembers? </w:t>
      </w:r>
    </w:p>
    <w:p w:rsidR="002D463E" w:rsidRPr="006B2638" w:rsidRDefault="002D463E" w:rsidP="002D463E">
      <w:pPr>
        <w:contextualSpacing/>
        <w:rPr>
          <w:b/>
          <w:szCs w:val="24"/>
        </w:rPr>
      </w:pPr>
    </w:p>
    <w:p w:rsidR="002D463E" w:rsidRPr="006B2638" w:rsidRDefault="002D463E" w:rsidP="00E35253">
      <w:pPr>
        <w:pStyle w:val="Heading3"/>
      </w:pPr>
      <w:r>
        <w:t>Repetition 13:  Biomimicry/</w:t>
      </w:r>
      <w:r w:rsidRPr="006B2638">
        <w:t xml:space="preserve">Guilt by Association </w:t>
      </w:r>
    </w:p>
    <w:p w:rsidR="002D463E" w:rsidRDefault="002D463E" w:rsidP="002D463E">
      <w:pPr>
        <w:pStyle w:val="NormalWeb"/>
        <w:spacing w:line="360" w:lineRule="auto"/>
        <w:contextualSpacing/>
        <w:jc w:val="both"/>
      </w:pPr>
    </w:p>
    <w:p w:rsidR="002D463E" w:rsidRPr="006B2638" w:rsidRDefault="002D463E" w:rsidP="002D463E">
      <w:pPr>
        <w:pStyle w:val="NormalWeb"/>
        <w:spacing w:line="360" w:lineRule="auto"/>
        <w:contextualSpacing/>
        <w:jc w:val="both"/>
      </w:pPr>
      <w:r w:rsidRPr="006B2638">
        <w:t>Dr Eric Schmidt notes: "Coral reefs and other ocean envi</w:t>
      </w:r>
      <w:r>
        <w:t>ronments are like rainforests—</w:t>
      </w:r>
      <w:r w:rsidRPr="006B2638">
        <w:t>full of natural chemicals to potentially treat human disease. Unfortunately, it's difficult to supply pharmaceuticals from these delicate environments. We have solved this by synthesizing the compounds in a lab" (BBC</w:t>
      </w:r>
      <w:r>
        <w:t>,</w:t>
      </w:r>
      <w:r w:rsidRPr="006B2638">
        <w:t xml:space="preserve"> 2005).  Alternatively, Dominic Mendola, owner of an aquaculture company called CalBioMarine, says that aquaculture could satisfy the U</w:t>
      </w:r>
      <w:r>
        <w:t xml:space="preserve">nited </w:t>
      </w:r>
      <w:r w:rsidRPr="006B2638">
        <w:t>S</w:t>
      </w:r>
      <w:r>
        <w:t>tates’</w:t>
      </w:r>
      <w:r w:rsidRPr="006B2638">
        <w:t xml:space="preserve"> demand for cancer-fighting sea-squirt derived antigens. "We would likely need 50,000 kg of sea squirts a year</w:t>
      </w:r>
      <w:r>
        <w:t>,"</w:t>
      </w:r>
      <w:r w:rsidRPr="006B2638">
        <w:t xml:space="preserve"> he says. "It would be difficult. But we could do it" (BBC</w:t>
      </w:r>
      <w:r>
        <w:t>,</w:t>
      </w:r>
      <w:r w:rsidRPr="006B2638">
        <w:t xml:space="preserve"> 1999). </w:t>
      </w:r>
    </w:p>
    <w:p w:rsidR="002D463E" w:rsidRPr="006B2638" w:rsidRDefault="002D463E" w:rsidP="002D463E">
      <w:pPr>
        <w:pStyle w:val="NormalWeb"/>
        <w:spacing w:line="360" w:lineRule="auto"/>
        <w:contextualSpacing/>
        <w:jc w:val="both"/>
      </w:pPr>
    </w:p>
    <w:p w:rsidR="002D463E" w:rsidRPr="006B2638" w:rsidRDefault="002D463E" w:rsidP="002D463E">
      <w:pPr>
        <w:contextualSpacing/>
        <w:rPr>
          <w:rFonts w:eastAsia="Times New Roman"/>
          <w:szCs w:val="24"/>
          <w:lang w:eastAsia="en-CA"/>
        </w:rPr>
      </w:pPr>
      <w:r w:rsidRPr="006B2638">
        <w:rPr>
          <w:szCs w:val="24"/>
        </w:rPr>
        <w:t xml:space="preserve">Meanwhile, recently in Fort Meyers, “several </w:t>
      </w:r>
      <w:r w:rsidRPr="006B2638">
        <w:rPr>
          <w:rFonts w:eastAsia="Times New Roman"/>
          <w:szCs w:val="24"/>
          <w:lang w:eastAsia="en-CA"/>
        </w:rPr>
        <w:t>black jelly-like balls are confusing some beach go-ers. Many people were concerned these black blobs known as ‘sea pork' were possib</w:t>
      </w:r>
      <w:r>
        <w:rPr>
          <w:rFonts w:eastAsia="Times New Roman"/>
          <w:szCs w:val="24"/>
          <w:lang w:eastAsia="en-CA"/>
        </w:rPr>
        <w:t>le tar balls from the oil spill</w:t>
      </w:r>
      <w:r w:rsidRPr="006B2638">
        <w:rPr>
          <w:rFonts w:eastAsia="Times New Roman"/>
          <w:szCs w:val="24"/>
          <w:lang w:eastAsia="en-CA"/>
        </w:rPr>
        <w:t>” (</w:t>
      </w:r>
      <w:r>
        <w:rPr>
          <w:rFonts w:eastAsia="Times New Roman"/>
          <w:szCs w:val="24"/>
          <w:lang w:eastAsia="en-CA"/>
        </w:rPr>
        <w:t>NBC2 RSW Florida,</w:t>
      </w:r>
      <w:r w:rsidRPr="006B2638">
        <w:rPr>
          <w:rFonts w:eastAsia="Times New Roman"/>
          <w:szCs w:val="24"/>
          <w:lang w:eastAsia="en-CA"/>
        </w:rPr>
        <w:t xml:space="preserve"> 2010</w:t>
      </w:r>
      <w:r>
        <w:rPr>
          <w:rFonts w:eastAsia="Times New Roman"/>
          <w:szCs w:val="24"/>
          <w:lang w:eastAsia="en-CA"/>
        </w:rPr>
        <w:t>: n.p.</w:t>
      </w:r>
      <w:r w:rsidRPr="006B2638">
        <w:rPr>
          <w:rFonts w:eastAsia="Times New Roman"/>
          <w:szCs w:val="24"/>
          <w:lang w:eastAsia="en-CA"/>
        </w:rPr>
        <w:t xml:space="preserve">). </w:t>
      </w:r>
    </w:p>
    <w:p w:rsidR="002D463E" w:rsidRPr="006B2638" w:rsidRDefault="002D463E" w:rsidP="002D463E">
      <w:pPr>
        <w:contextualSpacing/>
        <w:rPr>
          <w:rFonts w:eastAsia="Times New Roman"/>
          <w:szCs w:val="24"/>
          <w:lang w:eastAsia="en-CA"/>
        </w:rPr>
      </w:pPr>
    </w:p>
    <w:p w:rsidR="00E35253" w:rsidRDefault="002D463E" w:rsidP="002D463E">
      <w:pPr>
        <w:contextualSpacing/>
        <w:rPr>
          <w:rFonts w:eastAsia="Times New Roman"/>
          <w:szCs w:val="24"/>
          <w:lang w:eastAsia="en-CA"/>
        </w:rPr>
      </w:pPr>
      <w:r>
        <w:rPr>
          <w:rFonts w:eastAsia="Times New Roman"/>
          <w:szCs w:val="24"/>
          <w:lang w:eastAsia="en-CA"/>
        </w:rPr>
        <w:t>“</w:t>
      </w:r>
      <w:r w:rsidRPr="006B2638">
        <w:rPr>
          <w:rFonts w:eastAsia="Times New Roman"/>
          <w:szCs w:val="24"/>
          <w:lang w:eastAsia="en-CA"/>
        </w:rPr>
        <w:t xml:space="preserve">'That's the issue, people are seeing anything right now that perhaps (is) black and has any substance at all to it. They're thinking it's a tar ball. It's not a tar ball," said John Albion of the Fort Myers Beach Chamber of Commerce. Officials want to stress not only are these blobs natural to the Gulf, in some cases they </w:t>
      </w:r>
      <w:r w:rsidR="00E35253">
        <w:rPr>
          <w:rFonts w:eastAsia="Times New Roman"/>
          <w:szCs w:val="24"/>
          <w:lang w:eastAsia="en-CA"/>
        </w:rPr>
        <w:t xml:space="preserve">actually work to keep the water </w:t>
      </w:r>
      <w:r w:rsidRPr="006B2638">
        <w:rPr>
          <w:rFonts w:eastAsia="Times New Roman"/>
          <w:szCs w:val="24"/>
          <w:lang w:eastAsia="en-CA"/>
        </w:rPr>
        <w:t>clean.</w:t>
      </w:r>
    </w:p>
    <w:p w:rsidR="002D463E" w:rsidRPr="006B2638" w:rsidRDefault="002D463E" w:rsidP="002D463E">
      <w:pPr>
        <w:contextualSpacing/>
        <w:rPr>
          <w:rFonts w:eastAsia="Times New Roman"/>
          <w:szCs w:val="24"/>
          <w:lang w:eastAsia="en-CA"/>
        </w:rPr>
      </w:pPr>
      <w:r w:rsidRPr="006B2638">
        <w:rPr>
          <w:rFonts w:eastAsia="Times New Roman"/>
          <w:szCs w:val="24"/>
          <w:lang w:eastAsia="en-CA"/>
        </w:rPr>
        <w:br/>
        <w:t>The shores were clear from most of the sea pork </w:t>
      </w:r>
      <w:r>
        <w:rPr>
          <w:rFonts w:eastAsia="Times New Roman"/>
          <w:szCs w:val="24"/>
          <w:lang w:eastAsia="en-CA"/>
        </w:rPr>
        <w:t xml:space="preserve">the next Saturday afternoon.” (NBC2  RSW Florida, </w:t>
      </w:r>
      <w:r w:rsidRPr="006B2638">
        <w:rPr>
          <w:rFonts w:eastAsia="Times New Roman"/>
          <w:szCs w:val="24"/>
          <w:lang w:eastAsia="en-CA"/>
        </w:rPr>
        <w:t>2010</w:t>
      </w:r>
      <w:r>
        <w:rPr>
          <w:rFonts w:eastAsia="Times New Roman"/>
          <w:szCs w:val="24"/>
          <w:lang w:eastAsia="en-CA"/>
        </w:rPr>
        <w:t>: n.p.</w:t>
      </w:r>
      <w:r w:rsidRPr="006B2638">
        <w:rPr>
          <w:rFonts w:eastAsia="Times New Roman"/>
          <w:szCs w:val="24"/>
          <w:lang w:eastAsia="en-CA"/>
        </w:rPr>
        <w:t xml:space="preserve">). </w:t>
      </w:r>
    </w:p>
    <w:p w:rsidR="002D463E" w:rsidRPr="006B2638" w:rsidRDefault="002D463E" w:rsidP="002D463E">
      <w:pPr>
        <w:spacing w:before="100"/>
        <w:contextualSpacing/>
        <w:rPr>
          <w:rFonts w:eastAsia="Times New Roman"/>
          <w:szCs w:val="24"/>
          <w:lang w:eastAsia="en-CA"/>
        </w:rPr>
      </w:pPr>
    </w:p>
    <w:p w:rsidR="002D463E" w:rsidRPr="006B2638" w:rsidRDefault="002D463E" w:rsidP="002D463E">
      <w:pPr>
        <w:contextualSpacing/>
        <w:rPr>
          <w:szCs w:val="24"/>
        </w:rPr>
      </w:pPr>
      <w:r w:rsidRPr="006B2638">
        <w:rPr>
          <w:szCs w:val="24"/>
        </w:rPr>
        <w:t>Meanwhile, in a fish market in Peru, dolphin meat labelled as ‘sea pork’ is selling for 40 cents a pound. Beef costs a dollar eighty-five (Hall</w:t>
      </w:r>
      <w:r>
        <w:rPr>
          <w:szCs w:val="24"/>
        </w:rPr>
        <w:t>,</w:t>
      </w:r>
      <w:r w:rsidRPr="006B2638">
        <w:rPr>
          <w:szCs w:val="24"/>
        </w:rPr>
        <w:t xml:space="preserve"> 2003). Would a sow by any other name still taste as sweet? </w:t>
      </w:r>
    </w:p>
    <w:p w:rsidR="002D463E" w:rsidRPr="006B2638" w:rsidRDefault="002D463E" w:rsidP="002D463E">
      <w:pPr>
        <w:contextualSpacing/>
        <w:rPr>
          <w:szCs w:val="24"/>
        </w:rPr>
      </w:pPr>
    </w:p>
    <w:p w:rsidR="002D463E" w:rsidRPr="006B2638" w:rsidRDefault="002D463E" w:rsidP="002D463E">
      <w:pPr>
        <w:contextualSpacing/>
        <w:rPr>
          <w:szCs w:val="24"/>
        </w:rPr>
      </w:pPr>
      <w:r w:rsidRPr="006B2638">
        <w:rPr>
          <w:szCs w:val="24"/>
        </w:rPr>
        <w:t>“Repetitio</w:t>
      </w:r>
      <w:r>
        <w:rPr>
          <w:szCs w:val="24"/>
        </w:rPr>
        <w:t xml:space="preserve">n,” writes Deleuze, “belongs to… </w:t>
      </w:r>
      <w:r w:rsidRPr="006B2638">
        <w:rPr>
          <w:szCs w:val="24"/>
        </w:rPr>
        <w:t>irony” (1994: 5).</w:t>
      </w:r>
    </w:p>
    <w:p w:rsidR="002D463E" w:rsidRPr="006B2638" w:rsidRDefault="002D463E" w:rsidP="002D463E">
      <w:pPr>
        <w:contextualSpacing/>
        <w:rPr>
          <w:b/>
          <w:szCs w:val="24"/>
        </w:rPr>
      </w:pPr>
    </w:p>
    <w:p w:rsidR="002D463E" w:rsidRPr="00E35253" w:rsidRDefault="00E35253" w:rsidP="00E35253">
      <w:pPr>
        <w:contextualSpacing/>
        <w:rPr>
          <w:b/>
          <w:szCs w:val="24"/>
        </w:rPr>
      </w:pPr>
      <w:r>
        <w:rPr>
          <w:b/>
          <w:szCs w:val="24"/>
        </w:rPr>
        <w:t>* * *</w:t>
      </w:r>
    </w:p>
    <w:p w:rsidR="002D463E" w:rsidRDefault="002D463E" w:rsidP="00E35253">
      <w:pPr>
        <w:contextualSpacing/>
        <w:rPr>
          <w:szCs w:val="24"/>
        </w:rPr>
      </w:pPr>
      <w:r w:rsidRPr="006B2638">
        <w:rPr>
          <w:szCs w:val="24"/>
        </w:rPr>
        <w:t xml:space="preserve">Repetitions, attempting to communicate: </w:t>
      </w:r>
      <w:r w:rsidRPr="006B2638">
        <w:rPr>
          <w:i/>
          <w:szCs w:val="24"/>
        </w:rPr>
        <w:t xml:space="preserve">at the border which separates our knowledge from our ignorance and transforms the one into the other. </w:t>
      </w:r>
    </w:p>
    <w:p w:rsidR="002D463E" w:rsidRPr="006B2638" w:rsidRDefault="002D463E" w:rsidP="00B97B0C">
      <w:pPr>
        <w:pStyle w:val="Heading3"/>
      </w:pPr>
      <w:r w:rsidRPr="006B2638">
        <w:t>References</w:t>
      </w:r>
    </w:p>
    <w:p w:rsidR="002D463E" w:rsidRPr="006B2638" w:rsidRDefault="002D463E" w:rsidP="002D463E">
      <w:pPr>
        <w:ind w:hanging="720"/>
        <w:contextualSpacing/>
        <w:rPr>
          <w:b/>
          <w:szCs w:val="24"/>
        </w:rPr>
      </w:pPr>
    </w:p>
    <w:p w:rsidR="002D463E" w:rsidRDefault="002D463E" w:rsidP="00E35253">
      <w:pPr>
        <w:pStyle w:val="References"/>
      </w:pPr>
      <w:r w:rsidRPr="006B2638">
        <w:t xml:space="preserve">Auld, A. </w:t>
      </w:r>
      <w:r>
        <w:t xml:space="preserve">(2005), </w:t>
      </w:r>
      <w:r w:rsidRPr="006B2638">
        <w:t>“</w:t>
      </w:r>
      <w:hyperlink r:id="rId31" w:tgtFrame="_self" w:history="1">
        <w:r w:rsidRPr="006B2638">
          <w:rPr>
            <w:rStyle w:val="Hyperlink"/>
            <w:bCs/>
            <w:color w:val="000000"/>
            <w:szCs w:val="24"/>
          </w:rPr>
          <w:t>Ocean Blob Threatens Fishing Grounds</w:t>
        </w:r>
      </w:hyperlink>
      <w:r w:rsidRPr="006B2638">
        <w:t>”</w:t>
      </w:r>
      <w:r>
        <w:t>, Halifax Daily News,</w:t>
      </w:r>
      <w:r w:rsidRPr="006B2638">
        <w:t xml:space="preserve"> August 23, 2005a</w:t>
      </w:r>
      <w:r>
        <w:t xml:space="preserve"> </w:t>
      </w:r>
      <w:r w:rsidRPr="006B2638">
        <w:t xml:space="preserve">. </w:t>
      </w:r>
      <w:r>
        <w:t xml:space="preserve">Retrieved 16 February 2011 from: </w:t>
      </w:r>
    </w:p>
    <w:p w:rsidR="002D463E" w:rsidRDefault="00E35253" w:rsidP="00E35253">
      <w:pPr>
        <w:pStyle w:val="References"/>
      </w:pPr>
      <w:r>
        <w:tab/>
      </w:r>
      <w:hyperlink r:id="rId32" w:history="1">
        <w:r w:rsidR="002D463E" w:rsidRPr="00081E10">
          <w:rPr>
            <w:rStyle w:val="Hyperlink"/>
            <w:szCs w:val="24"/>
          </w:rPr>
          <w:t>http://www.freerepublic.com/focus/f-news/1469098/posts</w:t>
        </w:r>
      </w:hyperlink>
      <w:r w:rsidR="002D463E">
        <w:t>.</w:t>
      </w:r>
    </w:p>
    <w:p w:rsidR="002D463E" w:rsidRPr="006B2638" w:rsidRDefault="002D463E" w:rsidP="00E35253">
      <w:pPr>
        <w:pStyle w:val="References"/>
      </w:pPr>
    </w:p>
    <w:p w:rsidR="002D463E" w:rsidRDefault="002D463E" w:rsidP="00E35253">
      <w:pPr>
        <w:pStyle w:val="References"/>
      </w:pPr>
      <w:r w:rsidRPr="006B2638">
        <w:t>Auld, A.</w:t>
      </w:r>
      <w:r>
        <w:t>, (2005b), “Killer Blobs Threaten Canada's Waters</w:t>
      </w:r>
      <w:r w:rsidRPr="006B2638">
        <w:t>”</w:t>
      </w:r>
      <w:r>
        <w:t>, The Globe and Mail,</w:t>
      </w:r>
      <w:r w:rsidRPr="006B2638">
        <w:t xml:space="preserve"> December 5,  2005b</w:t>
      </w:r>
      <w:r>
        <w:t xml:space="preserve"> </w:t>
      </w:r>
      <w:r w:rsidRPr="006B2638">
        <w:t xml:space="preserve">.  </w:t>
      </w:r>
      <w:r>
        <w:t>Retrieved 16 February 2011 from:</w:t>
      </w:r>
    </w:p>
    <w:p w:rsidR="002D463E" w:rsidRPr="006B2638" w:rsidRDefault="00E35253" w:rsidP="00E35253">
      <w:pPr>
        <w:pStyle w:val="References"/>
      </w:pPr>
      <w:r>
        <w:tab/>
      </w:r>
      <w:r w:rsidR="002D463E">
        <w:t xml:space="preserve"> </w:t>
      </w:r>
      <w:hyperlink r:id="rId33" w:history="1">
        <w:r w:rsidR="002D463E" w:rsidRPr="00081E10">
          <w:rPr>
            <w:rStyle w:val="Hyperlink"/>
            <w:szCs w:val="24"/>
          </w:rPr>
          <w:t>http://www.theglobeandmail.com/life/article922465.ece</w:t>
        </w:r>
      </w:hyperlink>
      <w:r w:rsidR="002D463E">
        <w:t>.</w:t>
      </w:r>
    </w:p>
    <w:p w:rsidR="002D463E" w:rsidRPr="006B2638" w:rsidRDefault="002D463E" w:rsidP="00E35253">
      <w:pPr>
        <w:pStyle w:val="References"/>
      </w:pPr>
    </w:p>
    <w:p w:rsidR="002D463E" w:rsidRDefault="002D463E" w:rsidP="00E35253">
      <w:pPr>
        <w:pStyle w:val="References"/>
      </w:pPr>
      <w:r w:rsidRPr="006B2638">
        <w:t>BBC</w:t>
      </w:r>
      <w:r>
        <w:t xml:space="preserve"> (2005),</w:t>
      </w:r>
      <w:r w:rsidRPr="006B2638">
        <w:t xml:space="preserve"> “Oc</w:t>
      </w:r>
      <w:r>
        <w:t>ean Waters Yield Cancer Therapy</w:t>
      </w:r>
      <w:r w:rsidRPr="006B2638">
        <w:t>”</w:t>
      </w:r>
      <w:r>
        <w:t>, BBC News Online,</w:t>
      </w:r>
      <w:r w:rsidRPr="006B2638">
        <w:t xml:space="preserve"> </w:t>
      </w:r>
      <w:r w:rsidRPr="006B2638">
        <w:t>13 May</w:t>
      </w:r>
      <w:r>
        <w:t>. Retrieved</w:t>
      </w:r>
      <w:r w:rsidRPr="006B2638">
        <w:t xml:space="preserve"> 16 February 2011</w:t>
      </w:r>
      <w:r>
        <w:t xml:space="preserve">from: </w:t>
      </w:r>
    </w:p>
    <w:p w:rsidR="002D463E" w:rsidRPr="006B2638" w:rsidRDefault="00E35253" w:rsidP="00E35253">
      <w:pPr>
        <w:pStyle w:val="References"/>
      </w:pPr>
      <w:r>
        <w:tab/>
      </w:r>
      <w:hyperlink r:id="rId34" w:history="1">
        <w:r w:rsidR="002D463E" w:rsidRPr="006B2638">
          <w:rPr>
            <w:rStyle w:val="Hyperlink"/>
            <w:szCs w:val="24"/>
          </w:rPr>
          <w:t>http://news.bbc.co.uk/2/hi/health/4529273.stm</w:t>
        </w:r>
      </w:hyperlink>
      <w:r w:rsidR="002D463E">
        <w:t>.</w:t>
      </w:r>
      <w:r w:rsidR="002D463E" w:rsidRPr="006B2638">
        <w:t xml:space="preserve"> </w:t>
      </w:r>
    </w:p>
    <w:p w:rsidR="002D463E" w:rsidRPr="006B2638" w:rsidRDefault="002D463E" w:rsidP="00E35253">
      <w:pPr>
        <w:pStyle w:val="References"/>
        <w:rPr>
          <w:bCs/>
        </w:rPr>
      </w:pPr>
    </w:p>
    <w:p w:rsidR="002D463E" w:rsidRDefault="002D463E" w:rsidP="00E35253">
      <w:pPr>
        <w:pStyle w:val="References"/>
        <w:rPr>
          <w:bCs/>
        </w:rPr>
      </w:pPr>
      <w:r w:rsidRPr="006B2638">
        <w:rPr>
          <w:bCs/>
        </w:rPr>
        <w:t>BBC</w:t>
      </w:r>
      <w:r>
        <w:rPr>
          <w:bCs/>
        </w:rPr>
        <w:t xml:space="preserve"> (1999),</w:t>
      </w:r>
      <w:r w:rsidRPr="006B2638">
        <w:rPr>
          <w:bCs/>
        </w:rPr>
        <w:t xml:space="preserve"> “C</w:t>
      </w:r>
      <w:r>
        <w:rPr>
          <w:bCs/>
        </w:rPr>
        <w:t>ancer Hope in California Waters</w:t>
      </w:r>
      <w:r w:rsidRPr="006B2638">
        <w:rPr>
          <w:bCs/>
        </w:rPr>
        <w:t>”</w:t>
      </w:r>
      <w:r>
        <w:rPr>
          <w:bCs/>
        </w:rPr>
        <w:t>,</w:t>
      </w:r>
      <w:r w:rsidRPr="006B2638">
        <w:rPr>
          <w:bCs/>
        </w:rPr>
        <w:t xml:space="preserve"> BBC News Online</w:t>
      </w:r>
      <w:r>
        <w:rPr>
          <w:bCs/>
        </w:rPr>
        <w:t>, 17 May</w:t>
      </w:r>
      <w:r w:rsidRPr="006B2638">
        <w:rPr>
          <w:bCs/>
        </w:rPr>
        <w:t xml:space="preserve">. </w:t>
      </w:r>
      <w:r>
        <w:rPr>
          <w:bCs/>
        </w:rPr>
        <w:t>Retrieved</w:t>
      </w:r>
      <w:r w:rsidRPr="006B2638">
        <w:rPr>
          <w:bCs/>
        </w:rPr>
        <w:t xml:space="preserve"> 16 February 2011</w:t>
      </w:r>
      <w:r>
        <w:rPr>
          <w:bCs/>
        </w:rPr>
        <w:t xml:space="preserve"> from:</w:t>
      </w:r>
      <w:r w:rsidRPr="006B2638">
        <w:rPr>
          <w:bCs/>
        </w:rPr>
        <w:t xml:space="preserve"> </w:t>
      </w:r>
    </w:p>
    <w:p w:rsidR="002D463E" w:rsidRPr="006B2638" w:rsidRDefault="00E35253" w:rsidP="00E35253">
      <w:pPr>
        <w:pStyle w:val="References"/>
        <w:rPr>
          <w:bCs/>
        </w:rPr>
      </w:pPr>
      <w:r>
        <w:rPr>
          <w:bCs/>
        </w:rPr>
        <w:tab/>
      </w:r>
      <w:hyperlink r:id="rId35" w:history="1">
        <w:r w:rsidR="002D463E" w:rsidRPr="006B2638">
          <w:rPr>
            <w:rStyle w:val="Hyperlink"/>
            <w:bCs/>
            <w:szCs w:val="24"/>
          </w:rPr>
          <w:t>http://news.bbc.co.uk/2/hi/science/nature/345734.stm. 17 May 1999</w:t>
        </w:r>
      </w:hyperlink>
      <w:r w:rsidR="002D463E" w:rsidRPr="006B2638">
        <w:rPr>
          <w:bCs/>
        </w:rPr>
        <w:t xml:space="preserve">. </w:t>
      </w:r>
    </w:p>
    <w:p w:rsidR="002D463E" w:rsidRPr="006B2638" w:rsidRDefault="002D463E" w:rsidP="00E35253">
      <w:pPr>
        <w:pStyle w:val="References"/>
      </w:pPr>
    </w:p>
    <w:p w:rsidR="002D463E" w:rsidRPr="00E35253" w:rsidRDefault="002D463E" w:rsidP="00E35253">
      <w:pPr>
        <w:pStyle w:val="References"/>
        <w:rPr>
          <w:bCs/>
        </w:rPr>
      </w:pPr>
      <w:r w:rsidRPr="00E35253">
        <w:rPr>
          <w:bCs/>
        </w:rPr>
        <w:t xml:space="preserve">Cavallieri, P. (2011), “Cetaceans: From Bare Life to Nonhuman Others”, </w:t>
      </w:r>
      <w:r w:rsidRPr="00E35253">
        <w:rPr>
          <w:bCs/>
          <w:i/>
        </w:rPr>
        <w:t>Logos</w:t>
      </w:r>
      <w:r w:rsidRPr="00E35253">
        <w:rPr>
          <w:bCs/>
        </w:rPr>
        <w:t xml:space="preserve">, 10, 1.N.p. Retrieved 16 February 2011 from: </w:t>
      </w:r>
    </w:p>
    <w:p w:rsidR="002D463E" w:rsidRPr="00E35253" w:rsidRDefault="00E35253" w:rsidP="00E35253">
      <w:pPr>
        <w:pStyle w:val="References"/>
        <w:rPr>
          <w:bCs/>
        </w:rPr>
      </w:pPr>
      <w:r>
        <w:rPr>
          <w:bCs/>
        </w:rPr>
        <w:tab/>
      </w:r>
      <w:hyperlink r:id="rId36" w:history="1">
        <w:r w:rsidR="002D463E" w:rsidRPr="00E35253">
          <w:rPr>
            <w:rStyle w:val="Hyperlink"/>
            <w:bCs/>
            <w:szCs w:val="24"/>
          </w:rPr>
          <w:t>http://www.logosjournal.com/cetaceans-bare-life-nonhuman-others.php</w:t>
        </w:r>
      </w:hyperlink>
      <w:r w:rsidR="002D463E" w:rsidRPr="00E35253">
        <w:rPr>
          <w:bCs/>
        </w:rPr>
        <w:t>.</w:t>
      </w:r>
    </w:p>
    <w:p w:rsidR="002D463E" w:rsidRPr="006B2638" w:rsidRDefault="002D463E" w:rsidP="00E35253">
      <w:pPr>
        <w:pStyle w:val="References"/>
      </w:pPr>
    </w:p>
    <w:p w:rsidR="002D463E" w:rsidRPr="006B2638" w:rsidRDefault="002D463E" w:rsidP="00E35253">
      <w:pPr>
        <w:pStyle w:val="References"/>
      </w:pPr>
      <w:r w:rsidRPr="006B2638">
        <w:t xml:space="preserve">Chandler, M. </w:t>
      </w:r>
      <w:r>
        <w:t>(2007), “</w:t>
      </w:r>
      <w:r w:rsidRPr="00796CEB">
        <w:rPr>
          <w:rFonts w:eastAsia="Times New Roman"/>
          <w:iCs/>
          <w:lang w:eastAsia="en-CA"/>
        </w:rPr>
        <w:t>Sovereignty as an Invasive Species: Recognition, Identity, and the Circumscription of Diversity”</w:t>
      </w:r>
      <w:r w:rsidRPr="00796CEB">
        <w:rPr>
          <w:rFonts w:eastAsia="Times New Roman"/>
          <w:lang w:eastAsia="en-CA"/>
        </w:rPr>
        <w:t>,</w:t>
      </w:r>
      <w:r w:rsidRPr="006B2638">
        <w:rPr>
          <w:rFonts w:eastAsia="Times New Roman"/>
          <w:lang w:eastAsia="en-CA"/>
        </w:rPr>
        <w:t xml:space="preserve"> </w:t>
      </w:r>
      <w:r>
        <w:rPr>
          <w:rFonts w:eastAsia="Times New Roman"/>
          <w:lang w:eastAsia="en-CA"/>
        </w:rPr>
        <w:t xml:space="preserve">paper presented at Brown Bag Seminar, </w:t>
      </w:r>
      <w:r w:rsidRPr="006B2638">
        <w:rPr>
          <w:rFonts w:eastAsia="Times New Roman"/>
          <w:lang w:eastAsia="en-CA"/>
        </w:rPr>
        <w:t>February 2007</w:t>
      </w:r>
      <w:r>
        <w:rPr>
          <w:rFonts w:eastAsia="Times New Roman"/>
          <w:lang w:eastAsia="en-CA"/>
        </w:rPr>
        <w:t xml:space="preserve">, </w:t>
      </w:r>
      <w:r w:rsidRPr="006B2638">
        <w:rPr>
          <w:rFonts w:eastAsia="Times New Roman"/>
          <w:lang w:eastAsia="en-CA"/>
        </w:rPr>
        <w:t>Institute for Globalization and the Huma</w:t>
      </w:r>
      <w:r>
        <w:rPr>
          <w:rFonts w:eastAsia="Times New Roman"/>
          <w:lang w:eastAsia="en-CA"/>
        </w:rPr>
        <w:t>n Condition, McMaster University</w:t>
      </w:r>
      <w:r w:rsidRPr="006B2638">
        <w:rPr>
          <w:rFonts w:eastAsia="Times New Roman"/>
          <w:lang w:eastAsia="en-CA"/>
        </w:rPr>
        <w:t>.</w:t>
      </w:r>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Chandler, M. and Neimanis,  A.</w:t>
      </w:r>
      <w:r>
        <w:t xml:space="preserve"> (forthcoming),</w:t>
      </w:r>
      <w:r w:rsidRPr="006B2638">
        <w:t xml:space="preserve"> “Water and Gestationa</w:t>
      </w:r>
      <w:r>
        <w:t>lity: What Flows Beneath Ethics</w:t>
      </w:r>
      <w:r w:rsidRPr="006B2638">
        <w:t>”</w:t>
      </w:r>
      <w:r>
        <w:t>, in</w:t>
      </w:r>
      <w:r w:rsidRPr="006B2638">
        <w:t xml:space="preserve"> Chen,</w:t>
      </w:r>
      <w:r w:rsidRPr="00796CEB">
        <w:t xml:space="preserve"> </w:t>
      </w:r>
      <w:r w:rsidRPr="006B2638">
        <w:t>C.</w:t>
      </w:r>
      <w:r>
        <w:t>,</w:t>
      </w:r>
      <w:r w:rsidRPr="006B2638">
        <w:t xml:space="preserve"> MacLeod</w:t>
      </w:r>
      <w:r w:rsidRPr="006B2638">
        <w:rPr>
          <w:i/>
        </w:rPr>
        <w:t xml:space="preserve"> </w:t>
      </w:r>
      <w:r w:rsidRPr="006B2638">
        <w:t>J.</w:t>
      </w:r>
      <w:r>
        <w:t>,</w:t>
      </w:r>
      <w:r w:rsidRPr="00796CEB">
        <w:t xml:space="preserve"> </w:t>
      </w:r>
      <w:r w:rsidRPr="006B2638">
        <w:t>and Neimanis</w:t>
      </w:r>
      <w:r>
        <w:t>,</w:t>
      </w:r>
      <w:r w:rsidRPr="00796CEB">
        <w:t xml:space="preserve"> </w:t>
      </w:r>
      <w:r w:rsidRPr="006B2638">
        <w:t>A.</w:t>
      </w:r>
      <w:r>
        <w:t xml:space="preserve"> (Eds.)</w:t>
      </w:r>
      <w:r w:rsidRPr="006B2638">
        <w:rPr>
          <w:i/>
        </w:rPr>
        <w:t xml:space="preserve"> Thinking with Water. </w:t>
      </w:r>
    </w:p>
    <w:p w:rsidR="002D463E" w:rsidRPr="006B2638" w:rsidRDefault="002D463E" w:rsidP="00E35253">
      <w:pPr>
        <w:pStyle w:val="References"/>
      </w:pPr>
    </w:p>
    <w:p w:rsidR="002D463E" w:rsidRPr="006B2638" w:rsidRDefault="002D463E" w:rsidP="00E35253">
      <w:pPr>
        <w:pStyle w:val="References"/>
      </w:pPr>
      <w:r>
        <w:t>Chen, C. (2010), “Watering Mapping</w:t>
      </w:r>
      <w:r w:rsidRPr="006B2638">
        <w:t>”</w:t>
      </w:r>
      <w:r>
        <w:t>, paper presented at</w:t>
      </w:r>
      <w:r w:rsidRPr="006B2638">
        <w:t xml:space="preserve"> </w:t>
      </w:r>
      <w:r w:rsidRPr="00796CEB">
        <w:t>Thinking with Water</w:t>
      </w:r>
      <w:r>
        <w:t xml:space="preserve"> W</w:t>
      </w:r>
      <w:r w:rsidRPr="00796CEB">
        <w:t>orkshop</w:t>
      </w:r>
      <w:r>
        <w:t xml:space="preserve">, June 23, Concordia University, </w:t>
      </w:r>
      <w:r w:rsidRPr="006B2638">
        <w:t xml:space="preserve">Montreal, Canada.  </w:t>
      </w:r>
    </w:p>
    <w:p w:rsidR="002D463E" w:rsidRPr="006B2638" w:rsidRDefault="002D463E" w:rsidP="00E35253">
      <w:pPr>
        <w:pStyle w:val="References"/>
      </w:pPr>
    </w:p>
    <w:p w:rsidR="002D463E" w:rsidRPr="006B2638" w:rsidRDefault="002D463E" w:rsidP="00E35253">
      <w:pPr>
        <w:pStyle w:val="References"/>
      </w:pPr>
      <w:r>
        <w:t>Cooper, E. a</w:t>
      </w:r>
      <w:r w:rsidRPr="006B2638">
        <w:t>nd Parrinello, N.</w:t>
      </w:r>
      <w:r>
        <w:t xml:space="preserve"> (2001),</w:t>
      </w:r>
      <w:r w:rsidRPr="006B2638">
        <w:t xml:space="preserve"> “Immunodefense in</w:t>
      </w:r>
      <w:r>
        <w:t xml:space="preserve"> Tunicates: Cells and Molecules</w:t>
      </w:r>
      <w:r w:rsidRPr="006B2638">
        <w:t>”</w:t>
      </w:r>
      <w:r>
        <w:t>, in</w:t>
      </w:r>
      <w:r w:rsidRPr="006B2638">
        <w:t xml:space="preserve"> </w:t>
      </w:r>
      <w:r>
        <w:t xml:space="preserve">H. </w:t>
      </w:r>
      <w:r w:rsidRPr="006B2638">
        <w:t xml:space="preserve">Sawada, </w:t>
      </w:r>
      <w:r>
        <w:t xml:space="preserve">H. </w:t>
      </w:r>
      <w:r w:rsidRPr="006B2638">
        <w:t xml:space="preserve">Yokosawa and </w:t>
      </w:r>
      <w:r>
        <w:t xml:space="preserve">C. C. </w:t>
      </w:r>
      <w:r w:rsidRPr="006B2638">
        <w:t>Lambert</w:t>
      </w:r>
      <w:r>
        <w:t xml:space="preserve"> (Eds.)</w:t>
      </w:r>
      <w:r w:rsidRPr="006B2638">
        <w:t xml:space="preserve"> </w:t>
      </w:r>
      <w:r w:rsidRPr="00CA3DA6">
        <w:rPr>
          <w:i/>
        </w:rPr>
        <w:t>The Biology of Ascidians</w:t>
      </w:r>
      <w:r>
        <w:t xml:space="preserve">, Springer: New York, pp. </w:t>
      </w:r>
      <w:r w:rsidRPr="006B2638">
        <w:t>383-392.</w:t>
      </w:r>
    </w:p>
    <w:p w:rsidR="002D463E" w:rsidRPr="006B2638" w:rsidRDefault="002D463E" w:rsidP="00E35253">
      <w:pPr>
        <w:pStyle w:val="References"/>
      </w:pPr>
    </w:p>
    <w:p w:rsidR="002D463E" w:rsidRDefault="002D463E" w:rsidP="00E35253">
      <w:pPr>
        <w:pStyle w:val="References"/>
        <w:rPr>
          <w:bCs/>
        </w:rPr>
      </w:pPr>
      <w:r w:rsidRPr="006B2638">
        <w:t>Cromie, W. J.</w:t>
      </w:r>
      <w:r>
        <w:t xml:space="preserve"> (2000), “Potent Cancer Drugs Made—</w:t>
      </w:r>
      <w:r w:rsidRPr="006B2638">
        <w:t>S</w:t>
      </w:r>
      <w:r>
        <w:t>ea Squirts Provide Recipe</w:t>
      </w:r>
      <w:r w:rsidRPr="006B2638">
        <w:t>”</w:t>
      </w:r>
      <w:r>
        <w:t>,</w:t>
      </w:r>
      <w:r w:rsidRPr="006B2638">
        <w:t xml:space="preserve"> Harvard Gazette</w:t>
      </w:r>
      <w:r>
        <w:t>, May</w:t>
      </w:r>
      <w:r w:rsidRPr="006B2638">
        <w:t>.</w:t>
      </w:r>
      <w:r>
        <w:t xml:space="preserve"> Retrieved</w:t>
      </w:r>
      <w:r w:rsidRPr="006B2638">
        <w:t xml:space="preserve"> </w:t>
      </w:r>
      <w:r w:rsidRPr="006B2638">
        <w:rPr>
          <w:bCs/>
        </w:rPr>
        <w:t>16 February 2011</w:t>
      </w:r>
      <w:r>
        <w:rPr>
          <w:bCs/>
        </w:rPr>
        <w:t xml:space="preserve"> from:</w:t>
      </w:r>
    </w:p>
    <w:p w:rsidR="002D463E" w:rsidRPr="006B2638" w:rsidRDefault="00E35253" w:rsidP="00E35253">
      <w:pPr>
        <w:pStyle w:val="References"/>
        <w:rPr>
          <w:bCs/>
        </w:rPr>
      </w:pPr>
      <w:r>
        <w:rPr>
          <w:bCs/>
        </w:rPr>
        <w:tab/>
      </w:r>
      <w:r w:rsidR="002D463E">
        <w:rPr>
          <w:bCs/>
        </w:rPr>
        <w:t xml:space="preserve"> </w:t>
      </w:r>
      <w:hyperlink r:id="rId37" w:history="1">
        <w:r w:rsidR="002D463E" w:rsidRPr="006B2638">
          <w:rPr>
            <w:rStyle w:val="Hyperlink"/>
            <w:bCs/>
          </w:rPr>
          <w:t>http://www.news.harvard.edu/gazette/2000/05.04/cancersquirt.html. May 2000</w:t>
        </w:r>
      </w:hyperlink>
      <w:r w:rsidR="002D463E">
        <w:rPr>
          <w:bCs/>
        </w:rPr>
        <w:t xml:space="preserve">. </w:t>
      </w:r>
      <w:r w:rsidR="002D463E" w:rsidRPr="006B2638">
        <w:rPr>
          <w:bCs/>
        </w:rPr>
        <w:t xml:space="preserve"> </w:t>
      </w:r>
    </w:p>
    <w:p w:rsidR="002D463E" w:rsidRPr="006B2638" w:rsidRDefault="002D463E" w:rsidP="00E35253">
      <w:pPr>
        <w:pStyle w:val="References"/>
      </w:pPr>
    </w:p>
    <w:p w:rsidR="002D463E" w:rsidRDefault="002D463E" w:rsidP="00E35253">
      <w:pPr>
        <w:pStyle w:val="References"/>
        <w:rPr>
          <w:bCs/>
        </w:rPr>
      </w:pPr>
      <w:r w:rsidRPr="006B2638">
        <w:t>Cromie, W. J.</w:t>
      </w:r>
      <w:r>
        <w:t xml:space="preserve"> (2009), </w:t>
      </w:r>
      <w:r>
        <w:rPr>
          <w:bCs/>
        </w:rPr>
        <w:t>“Scientists Seek Sea Squirts by the Seashore</w:t>
      </w:r>
      <w:r w:rsidRPr="006B2638">
        <w:rPr>
          <w:bCs/>
        </w:rPr>
        <w:t>”</w:t>
      </w:r>
      <w:r>
        <w:rPr>
          <w:bCs/>
        </w:rPr>
        <w:t>, Harvard Gazette, May. Retrieved 16 February 2011 from:</w:t>
      </w:r>
    </w:p>
    <w:p w:rsidR="002D463E" w:rsidRPr="006B2638" w:rsidRDefault="00E35253" w:rsidP="00E35253">
      <w:pPr>
        <w:pStyle w:val="References"/>
        <w:rPr>
          <w:bCs/>
        </w:rPr>
      </w:pPr>
      <w:r>
        <w:rPr>
          <w:bCs/>
        </w:rPr>
        <w:tab/>
      </w:r>
      <w:hyperlink r:id="rId38" w:history="1">
        <w:r w:rsidR="002D463E" w:rsidRPr="001A4B96">
          <w:rPr>
            <w:rStyle w:val="Hyperlink"/>
            <w:bCs/>
          </w:rPr>
          <w:t>http://www.news.harvard.edu/gazette/2002/05.23/09-seasquirts.html</w:t>
        </w:r>
      </w:hyperlink>
      <w:r w:rsidR="002D463E" w:rsidRPr="006B2638">
        <w:rPr>
          <w:bCs/>
        </w:rPr>
        <w:t xml:space="preserve">. </w:t>
      </w:r>
    </w:p>
    <w:p w:rsidR="002D463E" w:rsidRPr="006B2638" w:rsidRDefault="002D463E" w:rsidP="00E35253">
      <w:pPr>
        <w:pStyle w:val="References"/>
      </w:pPr>
    </w:p>
    <w:p w:rsidR="002D463E" w:rsidRDefault="002D463E" w:rsidP="00E35253">
      <w:pPr>
        <w:pStyle w:val="References"/>
      </w:pPr>
      <w:r>
        <w:t xml:space="preserve">D'Amato, A. and </w:t>
      </w:r>
      <w:r w:rsidRPr="006B2638">
        <w:t xml:space="preserve">Chopra, </w:t>
      </w:r>
      <w:r>
        <w:t>S.</w:t>
      </w:r>
      <w:r w:rsidRPr="006B2638">
        <w:t xml:space="preserve"> K.</w:t>
      </w:r>
      <w:r>
        <w:t xml:space="preserve"> (1991),</w:t>
      </w:r>
      <w:r w:rsidRPr="006B2638">
        <w:t xml:space="preserve"> “Whales: Their Emerging Right to Life”, </w:t>
      </w:r>
      <w:r w:rsidRPr="006B2638">
        <w:rPr>
          <w:rStyle w:val="Emphasis"/>
          <w:szCs w:val="24"/>
        </w:rPr>
        <w:t>American Journal of International Law</w:t>
      </w:r>
      <w:r>
        <w:rPr>
          <w:rStyle w:val="Emphasis"/>
          <w:i w:val="0"/>
          <w:szCs w:val="24"/>
        </w:rPr>
        <w:t>,</w:t>
      </w:r>
      <w:r>
        <w:t xml:space="preserve"> 85, 1, 21-62.</w:t>
      </w:r>
    </w:p>
    <w:p w:rsidR="002D463E" w:rsidRPr="006B2638" w:rsidRDefault="002D463E" w:rsidP="00E35253">
      <w:pPr>
        <w:pStyle w:val="References"/>
      </w:pPr>
      <w:r w:rsidRPr="006B2638">
        <w:t xml:space="preserve"> </w:t>
      </w:r>
    </w:p>
    <w:p w:rsidR="002D463E" w:rsidRPr="006B2638" w:rsidRDefault="002D463E" w:rsidP="00E35253">
      <w:pPr>
        <w:pStyle w:val="References"/>
      </w:pPr>
      <w:r w:rsidRPr="006B2638">
        <w:t>Deleuze, G.</w:t>
      </w:r>
      <w:r>
        <w:t xml:space="preserve"> (1994),</w:t>
      </w:r>
      <w:r w:rsidRPr="006B2638">
        <w:t xml:space="preserve"> </w:t>
      </w:r>
      <w:r w:rsidRPr="006B2638">
        <w:rPr>
          <w:i/>
        </w:rPr>
        <w:t>Difference and Repetition</w:t>
      </w:r>
      <w:r>
        <w:t xml:space="preserve">, translated by </w:t>
      </w:r>
      <w:r w:rsidRPr="006B2638">
        <w:t>Patton</w:t>
      </w:r>
      <w:r>
        <w:t>, P</w:t>
      </w:r>
      <w:r w:rsidRPr="006B2638">
        <w:t>.</w:t>
      </w:r>
      <w:r>
        <w:t>, Columbia University Press: New York.</w:t>
      </w:r>
    </w:p>
    <w:p w:rsidR="002D463E" w:rsidRPr="006B2638" w:rsidRDefault="002D463E" w:rsidP="00E35253">
      <w:pPr>
        <w:pStyle w:val="References"/>
      </w:pPr>
    </w:p>
    <w:p w:rsidR="002D463E" w:rsidRDefault="002D463E" w:rsidP="00E35253">
      <w:pPr>
        <w:pStyle w:val="References"/>
      </w:pPr>
      <w:r w:rsidRPr="006B2638">
        <w:t>Deleuze, G. and Guattari, F.</w:t>
      </w:r>
      <w:r>
        <w:t xml:space="preserve"> (1987), </w:t>
      </w:r>
      <w:r w:rsidRPr="006B2638">
        <w:rPr>
          <w:i/>
        </w:rPr>
        <w:t>A Thousand Plateaus</w:t>
      </w:r>
      <w:r>
        <w:t>, t</w:t>
      </w:r>
      <w:r w:rsidRPr="006B2638">
        <w:t>rans</w:t>
      </w:r>
      <w:r>
        <w:t>lated by</w:t>
      </w:r>
      <w:r w:rsidRPr="006B2638">
        <w:t xml:space="preserve"> Massumi</w:t>
      </w:r>
      <w:r>
        <w:t>, B. University of Minnesota Press: Minneapolis.</w:t>
      </w:r>
    </w:p>
    <w:p w:rsidR="002D463E" w:rsidRPr="006B2638" w:rsidRDefault="002D463E" w:rsidP="00E35253">
      <w:pPr>
        <w:pStyle w:val="References"/>
        <w:rPr>
          <w:rFonts w:eastAsia="Times New Roman"/>
          <w:lang w:eastAsia="en-CA"/>
        </w:rPr>
      </w:pPr>
      <w:r w:rsidRPr="006B2638">
        <w:rPr>
          <w:rFonts w:eastAsia="Times New Roman"/>
          <w:lang w:eastAsia="en-CA"/>
        </w:rPr>
        <w:t xml:space="preserve"> </w:t>
      </w:r>
    </w:p>
    <w:p w:rsidR="002D463E" w:rsidRPr="006B2638" w:rsidRDefault="002D463E" w:rsidP="00E35253">
      <w:pPr>
        <w:pStyle w:val="References"/>
        <w:rPr>
          <w:rFonts w:eastAsia="Times New Roman"/>
          <w:lang w:eastAsia="en-CA"/>
        </w:rPr>
      </w:pPr>
      <w:r w:rsidRPr="006B2638">
        <w:rPr>
          <w:rFonts w:eastAsia="Times New Roman"/>
          <w:lang w:eastAsia="en-CA"/>
        </w:rPr>
        <w:t>Derrida, J.</w:t>
      </w:r>
      <w:r>
        <w:rPr>
          <w:rFonts w:eastAsia="Times New Roman"/>
          <w:lang w:eastAsia="en-CA"/>
        </w:rPr>
        <w:t xml:space="preserve"> (1995), “’Eating Well,’ o</w:t>
      </w:r>
      <w:r w:rsidRPr="006B2638">
        <w:rPr>
          <w:rFonts w:eastAsia="Times New Roman"/>
          <w:lang w:eastAsia="en-CA"/>
        </w:rPr>
        <w:t>r</w:t>
      </w:r>
      <w:r>
        <w:rPr>
          <w:rFonts w:eastAsia="Times New Roman"/>
          <w:lang w:eastAsia="en-CA"/>
        </w:rPr>
        <w:t xml:space="preserve"> the Calculation of the Subject</w:t>
      </w:r>
      <w:r w:rsidRPr="006B2638">
        <w:rPr>
          <w:rFonts w:eastAsia="Times New Roman"/>
          <w:lang w:eastAsia="en-CA"/>
        </w:rPr>
        <w:t>”</w:t>
      </w:r>
      <w:r>
        <w:rPr>
          <w:rFonts w:eastAsia="Times New Roman"/>
          <w:lang w:eastAsia="en-CA"/>
        </w:rPr>
        <w:t>, in Weber, E. (Ed.) and translated by Connor, P.</w:t>
      </w:r>
      <w:r w:rsidRPr="006B2638">
        <w:rPr>
          <w:rFonts w:eastAsia="Times New Roman"/>
          <w:lang w:eastAsia="en-CA"/>
        </w:rPr>
        <w:t xml:space="preserve"> </w:t>
      </w:r>
      <w:r w:rsidRPr="006B2638">
        <w:rPr>
          <w:rFonts w:eastAsia="Times New Roman"/>
          <w:i/>
          <w:lang w:eastAsia="en-CA"/>
        </w:rPr>
        <w:t>Points: Interviews, 1974-1994</w:t>
      </w:r>
      <w:r>
        <w:rPr>
          <w:rFonts w:eastAsia="Times New Roman"/>
          <w:lang w:eastAsia="en-CA"/>
        </w:rPr>
        <w:t>, Stanford University Press: Stanford, California.</w:t>
      </w:r>
    </w:p>
    <w:p w:rsidR="00E35253" w:rsidRDefault="00E35253" w:rsidP="00E35253">
      <w:pPr>
        <w:pStyle w:val="References"/>
        <w:rPr>
          <w:lang w:eastAsia="en-CA"/>
        </w:rPr>
      </w:pPr>
    </w:p>
    <w:p w:rsidR="002D463E" w:rsidRPr="00E35253" w:rsidRDefault="002D463E" w:rsidP="00E35253">
      <w:pPr>
        <w:pStyle w:val="References"/>
        <w:rPr>
          <w:rStyle w:val="Strong"/>
          <w:b w:val="0"/>
        </w:rPr>
      </w:pPr>
      <w:r w:rsidRPr="006B2638">
        <w:rPr>
          <w:lang w:eastAsia="en-CA"/>
        </w:rPr>
        <w:t>Duffy, A.</w:t>
      </w:r>
      <w:r>
        <w:rPr>
          <w:lang w:eastAsia="en-CA"/>
        </w:rPr>
        <w:t xml:space="preserve"> (1998),</w:t>
      </w:r>
      <w:r w:rsidRPr="006B2638">
        <w:rPr>
          <w:lang w:eastAsia="en-CA"/>
        </w:rPr>
        <w:t xml:space="preserve"> “To</w:t>
      </w:r>
      <w:r>
        <w:rPr>
          <w:lang w:eastAsia="en-CA"/>
        </w:rPr>
        <w:t>xic Chemicals Poison Inuit Food</w:t>
      </w:r>
      <w:r w:rsidRPr="006B2638">
        <w:rPr>
          <w:lang w:eastAsia="en-CA"/>
        </w:rPr>
        <w:t>”</w:t>
      </w:r>
      <w:r>
        <w:rPr>
          <w:lang w:eastAsia="en-CA"/>
        </w:rPr>
        <w:t>,</w:t>
      </w:r>
      <w:r w:rsidRPr="006B2638">
        <w:rPr>
          <w:lang w:eastAsia="en-CA"/>
        </w:rPr>
        <w:t xml:space="preserve"> </w:t>
      </w:r>
      <w:r w:rsidRPr="00E35253">
        <w:rPr>
          <w:rStyle w:val="Strong"/>
          <w:b w:val="0"/>
        </w:rPr>
        <w:t xml:space="preserve">Ottawa Citizen, July 5. Retrieved 16 February 2011 from: </w:t>
      </w:r>
    </w:p>
    <w:p w:rsidR="002D463E" w:rsidRPr="00E35253" w:rsidRDefault="00E35253" w:rsidP="00E35253">
      <w:pPr>
        <w:pStyle w:val="References"/>
        <w:rPr>
          <w:rStyle w:val="Strong"/>
          <w:bCs w:val="0"/>
        </w:rPr>
      </w:pPr>
      <w:r>
        <w:rPr>
          <w:rStyle w:val="Strong"/>
          <w:bCs w:val="0"/>
        </w:rPr>
        <w:tab/>
      </w:r>
      <w:hyperlink r:id="rId39" w:history="1">
        <w:r w:rsidR="002D463E" w:rsidRPr="00E35253">
          <w:rPr>
            <w:rStyle w:val="Hyperlink"/>
            <w:bCs/>
          </w:rPr>
          <w:t>http://www.chem.unep.ch/POPs/POPs_Inc/press_releases/ottawa-1.htm. 5 July 1998</w:t>
        </w:r>
      </w:hyperlink>
      <w:r w:rsidR="002D463E" w:rsidRPr="00E35253">
        <w:rPr>
          <w:rStyle w:val="Strong"/>
          <w:bCs w:val="0"/>
        </w:rPr>
        <w:t xml:space="preserve">. </w:t>
      </w:r>
    </w:p>
    <w:p w:rsidR="002D463E" w:rsidRDefault="002D463E" w:rsidP="00E35253">
      <w:pPr>
        <w:pStyle w:val="References"/>
      </w:pPr>
    </w:p>
    <w:p w:rsidR="002D463E" w:rsidRDefault="002D463E" w:rsidP="00E35253">
      <w:pPr>
        <w:pStyle w:val="References"/>
      </w:pPr>
      <w:r>
        <w:t xml:space="preserve">Ferenczi, S. (2005), </w:t>
      </w:r>
      <w:r w:rsidRPr="006118CB">
        <w:rPr>
          <w:i/>
        </w:rPr>
        <w:t>Thalassa: A Theory of Genitality</w:t>
      </w:r>
      <w:r>
        <w:t>, Karnac Books: London, 2005.</w:t>
      </w:r>
    </w:p>
    <w:p w:rsidR="002D463E" w:rsidRPr="006B2638" w:rsidRDefault="002D463E" w:rsidP="00E35253">
      <w:pPr>
        <w:pStyle w:val="References"/>
      </w:pPr>
    </w:p>
    <w:p w:rsidR="002D463E" w:rsidRPr="006B2638" w:rsidRDefault="002D463E" w:rsidP="00E35253">
      <w:pPr>
        <w:pStyle w:val="References"/>
      </w:pPr>
      <w:r>
        <w:t>“Florida Red Tide Solutions</w:t>
      </w:r>
      <w:r w:rsidRPr="006B2638">
        <w:t>”</w:t>
      </w:r>
      <w:r>
        <w:t xml:space="preserve"> (2011), Retrieved 16 February 2011 from:</w:t>
      </w:r>
      <w:r w:rsidRPr="006B2638">
        <w:t xml:space="preserve"> </w:t>
      </w:r>
      <w:hyperlink r:id="rId40" w:history="1">
        <w:r w:rsidRPr="006B2638">
          <w:rPr>
            <w:rStyle w:val="Hyperlink"/>
            <w:szCs w:val="24"/>
          </w:rPr>
          <w:t>http://redtideflorida.org/pages/what-is-red-tide</w:t>
        </w:r>
      </w:hyperlink>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GAP Project</w:t>
      </w:r>
      <w:r>
        <w:t xml:space="preserve"> (n.d.), Retrieved 15 February</w:t>
      </w:r>
      <w:r w:rsidRPr="006B2638">
        <w:t xml:space="preserve"> 2011</w:t>
      </w:r>
      <w:r>
        <w:t xml:space="preserve"> from:</w:t>
      </w:r>
      <w:r w:rsidRPr="006B2638">
        <w:t xml:space="preserve"> </w:t>
      </w:r>
      <w:hyperlink r:id="rId41" w:history="1">
        <w:r w:rsidRPr="006B2638">
          <w:rPr>
            <w:rStyle w:val="Hyperlink"/>
            <w:szCs w:val="24"/>
          </w:rPr>
          <w:t>http://www.greatapeproject.org/</w:t>
        </w:r>
      </w:hyperlink>
      <w:r>
        <w:t xml:space="preserve">.  </w:t>
      </w:r>
      <w:r w:rsidRPr="006B2638">
        <w:t xml:space="preserve"> </w:t>
      </w:r>
    </w:p>
    <w:p w:rsidR="002D463E" w:rsidRPr="006B2638" w:rsidRDefault="002D463E" w:rsidP="00E35253">
      <w:pPr>
        <w:pStyle w:val="References"/>
      </w:pPr>
    </w:p>
    <w:p w:rsidR="002D463E" w:rsidRDefault="002D463E" w:rsidP="00E35253">
      <w:pPr>
        <w:pStyle w:val="References"/>
      </w:pPr>
      <w:r w:rsidRPr="006B2638">
        <w:t>Grescoe, T</w:t>
      </w:r>
      <w:r>
        <w:t>. (2008), “</w:t>
      </w:r>
      <w:r w:rsidRPr="006B2638">
        <w:t>How to Handle an Invasive Species? E</w:t>
      </w:r>
      <w:r>
        <w:t>at it</w:t>
      </w:r>
      <w:r w:rsidRPr="006B2638">
        <w:t>”</w:t>
      </w:r>
      <w:r>
        <w:t>, Bottomfeeder. Retrieved 16 February 2011 from:</w:t>
      </w:r>
    </w:p>
    <w:p w:rsidR="002D463E" w:rsidRPr="006B2638" w:rsidRDefault="002D463E" w:rsidP="00E35253">
      <w:pPr>
        <w:pStyle w:val="References"/>
      </w:pPr>
      <w:r>
        <w:tab/>
      </w:r>
      <w:hyperlink r:id="rId42" w:history="1">
        <w:r w:rsidRPr="001A4B96">
          <w:rPr>
            <w:rStyle w:val="Hyperlink"/>
            <w:szCs w:val="24"/>
          </w:rPr>
          <w:t>http://www.tarasgrescoe.com/op-eds_articles.html#invasive</w:t>
        </w:r>
      </w:hyperlink>
      <w:r>
        <w:t xml:space="preserve">. </w:t>
      </w:r>
      <w:r w:rsidRPr="006B2638">
        <w:t xml:space="preserve"> </w:t>
      </w:r>
    </w:p>
    <w:p w:rsidR="002D463E" w:rsidRPr="006B2638" w:rsidRDefault="002D463E" w:rsidP="00E35253">
      <w:pPr>
        <w:pStyle w:val="References"/>
        <w:rPr>
          <w:rStyle w:val="citation"/>
          <w:szCs w:val="24"/>
        </w:rPr>
      </w:pPr>
    </w:p>
    <w:p w:rsidR="002D463E" w:rsidRPr="006B2638" w:rsidRDefault="002D463E" w:rsidP="00E35253">
      <w:pPr>
        <w:pStyle w:val="References"/>
        <w:rPr>
          <w:rStyle w:val="reference-accessdate"/>
          <w:szCs w:val="24"/>
        </w:rPr>
      </w:pPr>
      <w:r>
        <w:rPr>
          <w:rStyle w:val="citation"/>
          <w:szCs w:val="24"/>
        </w:rPr>
        <w:t>Hall, K.</w:t>
      </w:r>
      <w:r w:rsidRPr="006B2638">
        <w:rPr>
          <w:rStyle w:val="citation"/>
          <w:szCs w:val="24"/>
        </w:rPr>
        <w:t xml:space="preserve"> G.</w:t>
      </w:r>
      <w:r>
        <w:rPr>
          <w:rStyle w:val="citation"/>
          <w:szCs w:val="24"/>
        </w:rPr>
        <w:t xml:space="preserve"> (2003),</w:t>
      </w:r>
      <w:r w:rsidRPr="006B2638">
        <w:rPr>
          <w:rStyle w:val="citation"/>
          <w:szCs w:val="24"/>
        </w:rPr>
        <w:t xml:space="preserve"> </w:t>
      </w:r>
      <w:hyperlink r:id="rId43" w:history="1">
        <w:r>
          <w:rPr>
            <w:rStyle w:val="Hyperlink"/>
            <w:szCs w:val="24"/>
          </w:rPr>
          <w:t>"Dolphin Meat Widely Available in Peruvian Stores: Despite Protected Status, `sea pork' is Popular F</w:t>
        </w:r>
        <w:r w:rsidRPr="006B2638">
          <w:rPr>
            <w:rStyle w:val="Hyperlink"/>
            <w:szCs w:val="24"/>
          </w:rPr>
          <w:t>are"</w:t>
        </w:r>
      </w:hyperlink>
      <w:r w:rsidRPr="006B2638">
        <w:rPr>
          <w:rStyle w:val="citation"/>
          <w:szCs w:val="24"/>
        </w:rPr>
        <w:t xml:space="preserve">, </w:t>
      </w:r>
      <w:r w:rsidRPr="00DD2CA1">
        <w:rPr>
          <w:rStyle w:val="citation"/>
          <w:iCs/>
          <w:szCs w:val="24"/>
        </w:rPr>
        <w:t>The Seattle Times</w:t>
      </w:r>
      <w:r>
        <w:rPr>
          <w:rStyle w:val="citation"/>
          <w:iCs/>
          <w:szCs w:val="24"/>
        </w:rPr>
        <w:t xml:space="preserve">, date. Retrieved </w:t>
      </w:r>
      <w:r w:rsidRPr="006B2638">
        <w:rPr>
          <w:rStyle w:val="reference-accessdate"/>
          <w:szCs w:val="24"/>
        </w:rPr>
        <w:t>16 February 2011</w:t>
      </w:r>
      <w:r>
        <w:rPr>
          <w:rStyle w:val="reference-accessdate"/>
          <w:szCs w:val="24"/>
        </w:rPr>
        <w:t xml:space="preserve"> from: </w:t>
      </w:r>
      <w:hyperlink r:id="rId44" w:history="1">
        <w:r w:rsidRPr="006B2638">
          <w:rPr>
            <w:rStyle w:val="Hyperlink"/>
            <w:szCs w:val="24"/>
          </w:rPr>
          <w:t>http://www.thefreelibrary.com/Dolphin+meat+widely+available+in+Peruvian+stores+Despite+protected...-a0102897976</w:t>
        </w:r>
      </w:hyperlink>
      <w:r>
        <w:rPr>
          <w:rStyle w:val="reference-accessdate"/>
          <w:szCs w:val="24"/>
        </w:rPr>
        <w:t xml:space="preserve">. </w:t>
      </w:r>
      <w:r w:rsidRPr="006B2638">
        <w:rPr>
          <w:rStyle w:val="reference-accessdate"/>
          <w:szCs w:val="24"/>
        </w:rPr>
        <w:t xml:space="preserve"> </w:t>
      </w:r>
    </w:p>
    <w:p w:rsidR="002D463E" w:rsidRPr="006B2638" w:rsidRDefault="002D463E" w:rsidP="00E35253">
      <w:pPr>
        <w:pStyle w:val="References"/>
      </w:pPr>
    </w:p>
    <w:p w:rsidR="002D463E" w:rsidRDefault="002D463E" w:rsidP="00E35253">
      <w:pPr>
        <w:pStyle w:val="References"/>
      </w:pPr>
      <w:r w:rsidRPr="006B2638">
        <w:t>Hanl</w:t>
      </w:r>
      <w:r>
        <w:t>ey III, C.</w:t>
      </w:r>
      <w:r w:rsidRPr="006B2638">
        <w:t xml:space="preserve"> J.</w:t>
      </w:r>
      <w:r>
        <w:t xml:space="preserve"> (2010),</w:t>
      </w:r>
      <w:r w:rsidRPr="006B2638">
        <w:t xml:space="preserve"> “Bizarre and Surprising, Sea Squirt Care is New Type of Challenge”</w:t>
      </w:r>
      <w:r>
        <w:t xml:space="preserve">, </w:t>
      </w:r>
      <w:r w:rsidRPr="00DD2CA1">
        <w:t>Quality</w:t>
      </w:r>
      <w:r>
        <w:t xml:space="preserve"> </w:t>
      </w:r>
      <w:r w:rsidRPr="00DD2CA1">
        <w:t>Marine</w:t>
      </w:r>
      <w:r>
        <w:t xml:space="preserve">. Retrieved </w:t>
      </w:r>
      <w:r w:rsidRPr="006B2638">
        <w:t>16 February 2011</w:t>
      </w:r>
      <w:r>
        <w:t xml:space="preserve"> from:</w:t>
      </w:r>
    </w:p>
    <w:p w:rsidR="002D463E" w:rsidRPr="006B2638" w:rsidRDefault="00E35253" w:rsidP="00E35253">
      <w:pPr>
        <w:pStyle w:val="References"/>
      </w:pPr>
      <w:r>
        <w:tab/>
      </w:r>
      <w:r w:rsidR="002D463E">
        <w:t xml:space="preserve"> </w:t>
      </w:r>
      <w:hyperlink r:id="rId45" w:history="1">
        <w:r w:rsidR="002D463E" w:rsidRPr="006B2638">
          <w:rPr>
            <w:rStyle w:val="Hyperlink"/>
            <w:szCs w:val="24"/>
          </w:rPr>
          <w:t>https://www.qualitymarine.com/News/Species-Spotlight/Bizarre-and-Surprising,-Sea-Squirt-Care-is-a-New-Type-of-Challenge.-%2803/31/10%29</w:t>
        </w:r>
      </w:hyperlink>
      <w:r w:rsidR="002D463E" w:rsidRPr="00DD2CA1">
        <w:rPr>
          <w:i/>
        </w:rPr>
        <w:t>.</w:t>
      </w:r>
    </w:p>
    <w:p w:rsidR="002D463E" w:rsidRPr="006B2638" w:rsidRDefault="002D463E" w:rsidP="00E35253">
      <w:pPr>
        <w:pStyle w:val="References"/>
      </w:pPr>
    </w:p>
    <w:p w:rsidR="002D463E" w:rsidRPr="006B2638" w:rsidRDefault="002D463E" w:rsidP="00E35253">
      <w:pPr>
        <w:pStyle w:val="References"/>
      </w:pPr>
      <w:r w:rsidRPr="006B2638">
        <w:t>Haraway, D.</w:t>
      </w:r>
      <w:r>
        <w:t xml:space="preserve"> (2004),</w:t>
      </w:r>
      <w:r w:rsidRPr="006B2638">
        <w:t xml:space="preserve"> </w:t>
      </w:r>
      <w:r w:rsidRPr="006B2638">
        <w:rPr>
          <w:i/>
        </w:rPr>
        <w:t>The Harraway Reader</w:t>
      </w:r>
      <w:r>
        <w:t>, Routledge: New York</w:t>
      </w:r>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Haraway, D.</w:t>
      </w:r>
      <w:r>
        <w:t xml:space="preserve"> (2008),</w:t>
      </w:r>
      <w:r w:rsidRPr="006B2638">
        <w:t xml:space="preserve"> </w:t>
      </w:r>
      <w:r w:rsidRPr="006B2638">
        <w:rPr>
          <w:i/>
        </w:rPr>
        <w:t>When Species Meet</w:t>
      </w:r>
      <w:r>
        <w:t>,</w:t>
      </w:r>
      <w:r w:rsidRPr="006B2638">
        <w:t xml:space="preserve"> University of Mi</w:t>
      </w:r>
      <w:r>
        <w:t>nnesota Press: Minneapolis</w:t>
      </w:r>
      <w:r w:rsidRPr="006B2638">
        <w:t xml:space="preserve">. </w:t>
      </w:r>
    </w:p>
    <w:p w:rsidR="002D463E" w:rsidRPr="006B2638" w:rsidRDefault="002D463E" w:rsidP="00E35253">
      <w:pPr>
        <w:pStyle w:val="References"/>
        <w:rPr>
          <w:b/>
        </w:rPr>
      </w:pPr>
    </w:p>
    <w:p w:rsidR="002D463E" w:rsidRPr="00E35253" w:rsidRDefault="002D463E" w:rsidP="00E35253">
      <w:pPr>
        <w:pStyle w:val="References"/>
      </w:pPr>
      <w:r w:rsidRPr="00E35253">
        <w:t>Hawthorne, S. “</w:t>
      </w:r>
      <w:hyperlink r:id="rId46" w:history="1">
        <w:r w:rsidRPr="00E35253">
          <w:rPr>
            <w:rStyle w:val="Hyperlink"/>
            <w:szCs w:val="24"/>
          </w:rPr>
          <w:t>Land, bodies, and Knowledge: Biocolonialism of Plants, Indigenous Peoples, Women, and People with Disabilities</w:t>
        </w:r>
      </w:hyperlink>
      <w:r w:rsidRPr="00E35253">
        <w:t xml:space="preserve">”, </w:t>
      </w:r>
      <w:r w:rsidRPr="00E35253">
        <w:rPr>
          <w:i/>
        </w:rPr>
        <w:t>Signs</w:t>
      </w:r>
      <w:r w:rsidRPr="00E35253">
        <w:t>, 32, 2, pp. 314-323.</w:t>
      </w:r>
    </w:p>
    <w:p w:rsidR="002D463E" w:rsidRPr="006B2638" w:rsidRDefault="002D463E" w:rsidP="00E35253">
      <w:pPr>
        <w:pStyle w:val="References"/>
      </w:pPr>
    </w:p>
    <w:p w:rsidR="002D463E" w:rsidRDefault="002D463E" w:rsidP="00E35253">
      <w:pPr>
        <w:pStyle w:val="References"/>
        <w:rPr>
          <w:rFonts w:eastAsia="Times New Roman"/>
          <w:lang w:eastAsia="en-CA"/>
        </w:rPr>
      </w:pPr>
      <w:r w:rsidRPr="006B2638">
        <w:rPr>
          <w:rFonts w:eastAsia="Times New Roman"/>
          <w:lang w:eastAsia="en-CA"/>
        </w:rPr>
        <w:t>Hodge, F.</w:t>
      </w:r>
      <w:r>
        <w:rPr>
          <w:rFonts w:eastAsia="Times New Roman"/>
          <w:lang w:eastAsia="en-CA"/>
        </w:rPr>
        <w:t xml:space="preserve"> (2006),</w:t>
      </w:r>
      <w:r w:rsidRPr="006B2638">
        <w:rPr>
          <w:rFonts w:eastAsia="Times New Roman"/>
          <w:lang w:eastAsia="en-CA"/>
        </w:rPr>
        <w:t xml:space="preserve"> “Sea squirts: A Bio-Security Challenge</w:t>
      </w:r>
      <w:r>
        <w:rPr>
          <w:rFonts w:eastAsia="Times New Roman"/>
          <w:lang w:eastAsia="en-CA"/>
        </w:rPr>
        <w:t>”,</w:t>
      </w:r>
      <w:r w:rsidRPr="00F93153">
        <w:rPr>
          <w:rFonts w:eastAsia="Times New Roman"/>
          <w:lang w:eastAsia="en-CA"/>
        </w:rPr>
        <w:t xml:space="preserve"> </w:t>
      </w:r>
      <w:r>
        <w:rPr>
          <w:rFonts w:eastAsia="Times New Roman"/>
          <w:lang w:eastAsia="en-CA"/>
        </w:rPr>
        <w:t xml:space="preserve">Channel 3 News NZ, </w:t>
      </w:r>
      <w:r w:rsidRPr="006B2638">
        <w:rPr>
          <w:rFonts w:eastAsia="Times New Roman"/>
          <w:lang w:eastAsia="en-CA"/>
        </w:rPr>
        <w:t>May</w:t>
      </w:r>
      <w:r>
        <w:rPr>
          <w:rFonts w:eastAsia="Times New Roman"/>
          <w:lang w:eastAsia="en-CA"/>
        </w:rPr>
        <w:t xml:space="preserve"> 17. Retrieved  </w:t>
      </w:r>
      <w:r w:rsidRPr="006B2638">
        <w:rPr>
          <w:rFonts w:eastAsia="Times New Roman"/>
          <w:lang w:eastAsia="en-CA"/>
        </w:rPr>
        <w:t xml:space="preserve"> 16 February 2011</w:t>
      </w:r>
      <w:r>
        <w:rPr>
          <w:rFonts w:eastAsia="Times New Roman"/>
          <w:lang w:eastAsia="en-CA"/>
        </w:rPr>
        <w:t xml:space="preserve"> from: </w:t>
      </w:r>
    </w:p>
    <w:p w:rsidR="002D463E" w:rsidRPr="006B2638" w:rsidRDefault="00E35253" w:rsidP="00E35253">
      <w:pPr>
        <w:pStyle w:val="References"/>
        <w:rPr>
          <w:rFonts w:eastAsia="Times New Roman"/>
          <w:lang w:eastAsia="en-CA"/>
        </w:rPr>
      </w:pPr>
      <w:r>
        <w:rPr>
          <w:rFonts w:eastAsia="Times New Roman"/>
          <w:lang w:eastAsia="en-CA"/>
        </w:rPr>
        <w:tab/>
      </w:r>
      <w:hyperlink r:id="rId47" w:history="1">
        <w:r w:rsidRPr="00026994">
          <w:rPr>
            <w:rStyle w:val="Hyperlink"/>
            <w:rFonts w:eastAsia="Times New Roman"/>
            <w:szCs w:val="24"/>
            <w:lang w:eastAsia="en-CA"/>
          </w:rPr>
          <w:t>http://www.3news.co.nz/Sea-squirts-A-biosecurity challenge/tabid/1360/articleID/170506/Default.aspx</w:t>
        </w:r>
      </w:hyperlink>
      <w:r w:rsidR="002D463E">
        <w:rPr>
          <w:rFonts w:eastAsia="Times New Roman"/>
          <w:lang w:eastAsia="en-CA"/>
        </w:rPr>
        <w:t xml:space="preserve">. </w:t>
      </w:r>
    </w:p>
    <w:p w:rsidR="002D463E" w:rsidRPr="006B2638" w:rsidRDefault="002D463E" w:rsidP="00E35253">
      <w:pPr>
        <w:pStyle w:val="References"/>
      </w:pPr>
    </w:p>
    <w:p w:rsidR="002D463E" w:rsidRPr="006B2638" w:rsidRDefault="002D463E" w:rsidP="00E35253">
      <w:pPr>
        <w:pStyle w:val="References"/>
      </w:pPr>
      <w:r w:rsidRPr="006B2638">
        <w:t>Lambert, G.</w:t>
      </w:r>
      <w:r>
        <w:t xml:space="preserve"> (2001), “</w:t>
      </w:r>
      <w:r w:rsidRPr="006B2638">
        <w:t>A Global Overview of Ascidian Introductions and Their Possi</w:t>
      </w:r>
      <w:r>
        <w:t>ble Impact on the Endemic Fauna</w:t>
      </w:r>
      <w:r w:rsidRPr="006B2638">
        <w:t>”</w:t>
      </w:r>
      <w:r>
        <w:t>, in</w:t>
      </w:r>
      <w:r w:rsidRPr="006B2638">
        <w:t xml:space="preserve"> </w:t>
      </w:r>
      <w:r>
        <w:t xml:space="preserve">H. </w:t>
      </w:r>
      <w:r w:rsidRPr="006B2638">
        <w:t xml:space="preserve">Sawada, </w:t>
      </w:r>
      <w:r>
        <w:t xml:space="preserve">H. </w:t>
      </w:r>
      <w:r w:rsidRPr="006B2638">
        <w:t xml:space="preserve">Yokosawa and </w:t>
      </w:r>
      <w:r>
        <w:t xml:space="preserve">C. C. </w:t>
      </w:r>
      <w:r w:rsidRPr="006B2638">
        <w:t xml:space="preserve">Lambert </w:t>
      </w:r>
      <w:r>
        <w:t xml:space="preserve">(Eds.) </w:t>
      </w:r>
      <w:r w:rsidRPr="00F93153">
        <w:rPr>
          <w:i/>
        </w:rPr>
        <w:t>The Biology of Ascidians</w:t>
      </w:r>
      <w:r>
        <w:t xml:space="preserve">, Springer: New York, pp. </w:t>
      </w:r>
      <w:r w:rsidRPr="006B2638">
        <w:t>250-256.</w:t>
      </w:r>
    </w:p>
    <w:p w:rsidR="002D463E" w:rsidRPr="006B2638" w:rsidRDefault="002D463E" w:rsidP="00E35253">
      <w:pPr>
        <w:pStyle w:val="References"/>
      </w:pPr>
    </w:p>
    <w:p w:rsidR="002D463E" w:rsidRPr="006B2638" w:rsidRDefault="002D463E" w:rsidP="00E35253">
      <w:pPr>
        <w:pStyle w:val="References"/>
      </w:pPr>
      <w:r w:rsidRPr="006B2638">
        <w:t>Lingis, A.</w:t>
      </w:r>
      <w:r>
        <w:t xml:space="preserve"> (2000),</w:t>
      </w:r>
      <w:r w:rsidRPr="006B2638">
        <w:t xml:space="preserve"> </w:t>
      </w:r>
      <w:r w:rsidRPr="006B2638">
        <w:rPr>
          <w:i/>
        </w:rPr>
        <w:t>Dangerous</w:t>
      </w:r>
      <w:r w:rsidRPr="006B2638">
        <w:t xml:space="preserve"> </w:t>
      </w:r>
      <w:r w:rsidRPr="006B2638">
        <w:rPr>
          <w:i/>
        </w:rPr>
        <w:t>Emotions</w:t>
      </w:r>
      <w:r>
        <w:t>,</w:t>
      </w:r>
      <w:r w:rsidRPr="006B2638">
        <w:t xml:space="preserve"> University of </w:t>
      </w:r>
      <w:r>
        <w:t>California Press: Berkeley</w:t>
      </w:r>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Merleau-Ponty, M.</w:t>
      </w:r>
      <w:r>
        <w:t xml:space="preserve"> (1968),</w:t>
      </w:r>
      <w:r w:rsidRPr="006B2638">
        <w:t xml:space="preserve"> </w:t>
      </w:r>
      <w:r w:rsidRPr="006B2638">
        <w:rPr>
          <w:i/>
        </w:rPr>
        <w:t>Visible and Invisible</w:t>
      </w:r>
      <w:r>
        <w:t>, t</w:t>
      </w:r>
      <w:r w:rsidRPr="006B2638">
        <w:t>rans</w:t>
      </w:r>
      <w:r>
        <w:t xml:space="preserve">lated by </w:t>
      </w:r>
      <w:r w:rsidRPr="006B2638">
        <w:t>Lingis</w:t>
      </w:r>
      <w:r>
        <w:t>, A</w:t>
      </w:r>
      <w:r w:rsidRPr="006B2638">
        <w:t>. North</w:t>
      </w:r>
      <w:r>
        <w:t>western U Press:  Evanston</w:t>
      </w:r>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Merleau-Ponty,  M.</w:t>
      </w:r>
      <w:r>
        <w:t xml:space="preserve"> (2003),</w:t>
      </w:r>
      <w:r w:rsidRPr="006B2638">
        <w:t xml:space="preserve"> </w:t>
      </w:r>
      <w:r w:rsidRPr="006B2638">
        <w:rPr>
          <w:i/>
        </w:rPr>
        <w:t>Nature: Course Notes from the College de France</w:t>
      </w:r>
      <w:r>
        <w:t>, t</w:t>
      </w:r>
      <w:r w:rsidRPr="006B2638">
        <w:t>rans</w:t>
      </w:r>
      <w:r>
        <w:t>lated by</w:t>
      </w:r>
      <w:r w:rsidRPr="006B2638">
        <w:t xml:space="preserve"> Vallier</w:t>
      </w:r>
      <w:r>
        <w:t>,</w:t>
      </w:r>
      <w:r w:rsidRPr="006B2638">
        <w:t xml:space="preserve"> </w:t>
      </w:r>
      <w:r>
        <w:t>R</w:t>
      </w:r>
      <w:r w:rsidRPr="006B2638">
        <w:t>.</w:t>
      </w:r>
      <w:r>
        <w:t>,</w:t>
      </w:r>
      <w:r w:rsidRPr="006B2638">
        <w:t xml:space="preserve"> Northwestern </w:t>
      </w:r>
      <w:r>
        <w:t>University Press: Evanston</w:t>
      </w:r>
      <w:r w:rsidRPr="006B2638">
        <w:t xml:space="preserve">. </w:t>
      </w:r>
    </w:p>
    <w:p w:rsidR="002D463E" w:rsidRPr="006B2638" w:rsidRDefault="002D463E" w:rsidP="00E35253">
      <w:pPr>
        <w:pStyle w:val="References"/>
      </w:pPr>
    </w:p>
    <w:p w:rsidR="002D463E" w:rsidRPr="006B2638" w:rsidRDefault="002D463E" w:rsidP="00E35253">
      <w:pPr>
        <w:pStyle w:val="References"/>
      </w:pPr>
      <w:r w:rsidRPr="006B2638">
        <w:t>Merleau-Ponty, M.</w:t>
      </w:r>
      <w:r>
        <w:t xml:space="preserve"> (1989),</w:t>
      </w:r>
      <w:r w:rsidRPr="006B2638">
        <w:t xml:space="preserve"> </w:t>
      </w:r>
      <w:r w:rsidRPr="006B2638">
        <w:rPr>
          <w:i/>
        </w:rPr>
        <w:t>Phenomenology of Perception</w:t>
      </w:r>
      <w:r>
        <w:t>, t</w:t>
      </w:r>
      <w:r w:rsidRPr="006B2638">
        <w:t>rans</w:t>
      </w:r>
      <w:r>
        <w:t xml:space="preserve">lated by </w:t>
      </w:r>
      <w:r w:rsidRPr="006B2638">
        <w:t>Smith</w:t>
      </w:r>
      <w:r>
        <w:t>, C</w:t>
      </w:r>
      <w:r w:rsidRPr="006B2638">
        <w:t>.</w:t>
      </w:r>
      <w:r>
        <w:t>, Routledge: New York.</w:t>
      </w:r>
    </w:p>
    <w:p w:rsidR="00E35253" w:rsidRDefault="00E35253" w:rsidP="00E35253">
      <w:pPr>
        <w:pStyle w:val="References"/>
      </w:pPr>
    </w:p>
    <w:p w:rsidR="002D463E" w:rsidRPr="00F93153" w:rsidRDefault="002D463E" w:rsidP="00E35253">
      <w:pPr>
        <w:pStyle w:val="References"/>
      </w:pPr>
      <w:r w:rsidRPr="006B2638">
        <w:t>Mitchell, P.</w:t>
      </w:r>
      <w:r>
        <w:t xml:space="preserve"> (2008), “Sea Pork: Brainy, Briny Zooid.</w:t>
      </w:r>
      <w:r w:rsidRPr="006B2638">
        <w:t>”</w:t>
      </w:r>
      <w:r>
        <w:t xml:space="preserve"> Retrieved</w:t>
      </w:r>
      <w:r w:rsidRPr="006B2638">
        <w:t xml:space="preserve"> 16 February 2011</w:t>
      </w:r>
      <w:r>
        <w:t xml:space="preserve"> from:</w:t>
      </w:r>
      <w:r w:rsidRPr="006B2638">
        <w:t xml:space="preserve"> </w:t>
      </w:r>
      <w:hyperlink r:id="rId48" w:history="1">
        <w:r w:rsidRPr="00E35253">
          <w:rPr>
            <w:rStyle w:val="Hyperlink"/>
          </w:rPr>
          <w:t>http://www.mitchellspublications.com/guides/shells/articles/0084/</w:t>
        </w:r>
      </w:hyperlink>
      <w:r w:rsidRPr="00E35253">
        <w:t xml:space="preserve">. </w:t>
      </w:r>
    </w:p>
    <w:p w:rsidR="002D463E" w:rsidRPr="006B2638" w:rsidRDefault="002D463E" w:rsidP="00E35253">
      <w:pPr>
        <w:pStyle w:val="References"/>
      </w:pPr>
    </w:p>
    <w:p w:rsidR="002D463E" w:rsidRPr="006B2638" w:rsidRDefault="002D463E" w:rsidP="00E35253">
      <w:pPr>
        <w:pStyle w:val="References"/>
      </w:pPr>
      <w:r w:rsidRPr="006B2638">
        <w:t xml:space="preserve">Muecke, S. </w:t>
      </w:r>
      <w:r>
        <w:t xml:space="preserve">(2009), </w:t>
      </w:r>
      <w:r w:rsidRPr="006B2638">
        <w:t>“Dust Mites vs. Sebastian:</w:t>
      </w:r>
      <w:r>
        <w:t xml:space="preserve"> Anecdotes from the Nature Wars</w:t>
      </w:r>
      <w:r w:rsidRPr="006B2638">
        <w:t>”</w:t>
      </w:r>
      <w:r>
        <w:t>,</w:t>
      </w:r>
      <w:r w:rsidRPr="006B2638">
        <w:t xml:space="preserve"> </w:t>
      </w:r>
      <w:r w:rsidRPr="006B2638">
        <w:rPr>
          <w:i/>
        </w:rPr>
        <w:t>TOPIA: Canadian Journal of Cultural Studies</w:t>
      </w:r>
      <w:r>
        <w:t>,</w:t>
      </w:r>
      <w:r w:rsidRPr="006B2638">
        <w:t xml:space="preserve"> 21</w:t>
      </w:r>
      <w:r>
        <w:t xml:space="preserve">, pp. </w:t>
      </w:r>
      <w:r w:rsidRPr="006B2638">
        <w:t>195-203.</w:t>
      </w:r>
    </w:p>
    <w:p w:rsidR="002D463E" w:rsidRDefault="002D463E" w:rsidP="00E35253">
      <w:pPr>
        <w:pStyle w:val="References"/>
      </w:pPr>
    </w:p>
    <w:p w:rsidR="002D463E" w:rsidRDefault="002D463E" w:rsidP="00E35253">
      <w:pPr>
        <w:pStyle w:val="References"/>
      </w:pPr>
      <w:r>
        <w:t>NBC2 RSW Florida. (2010), “‘Sea Pork’ Puzzels Some Beach Goers.” Retrieved 16 February from:</w:t>
      </w:r>
      <w:r>
        <w:tab/>
      </w:r>
    </w:p>
    <w:p w:rsidR="002D463E" w:rsidRPr="006B2638" w:rsidRDefault="00E35253" w:rsidP="00E35253">
      <w:pPr>
        <w:pStyle w:val="References"/>
      </w:pPr>
      <w:r>
        <w:tab/>
      </w:r>
      <w:r w:rsidR="002D463E">
        <w:fldChar w:fldCharType="begin"/>
      </w:r>
      <w:r w:rsidR="002D463E">
        <w:instrText xml:space="preserve"> HYPERLINK "</w:instrText>
      </w:r>
      <w:r w:rsidR="002D463E" w:rsidRPr="0069162E">
        <w:instrText>http://www.nbc-2.com/story/12565734/sea-pork-puzzles-some-beach-goers?redirected=true</w:instrText>
      </w:r>
      <w:r w:rsidR="002D463E">
        <w:instrText xml:space="preserve">" </w:instrText>
      </w:r>
      <w:r w:rsidR="002D463E">
        <w:fldChar w:fldCharType="separate"/>
      </w:r>
      <w:r w:rsidR="002D463E" w:rsidRPr="00C30056">
        <w:rPr>
          <w:rStyle w:val="Hyperlink"/>
          <w:szCs w:val="24"/>
        </w:rPr>
        <w:t>http://www.nbc-2.com/story/12565734/sea-pork-puzzles-some-beach-goers?redirected=true</w:t>
      </w:r>
      <w:r w:rsidR="002D463E">
        <w:fldChar w:fldCharType="end"/>
      </w:r>
      <w:r w:rsidR="002D463E">
        <w:t>.</w:t>
      </w:r>
    </w:p>
    <w:p w:rsidR="002D463E" w:rsidRPr="006B2638" w:rsidRDefault="002D463E" w:rsidP="00E35253">
      <w:pPr>
        <w:pStyle w:val="References"/>
      </w:pPr>
    </w:p>
    <w:p w:rsidR="002D463E" w:rsidRPr="006B2638" w:rsidRDefault="002D463E" w:rsidP="00E35253">
      <w:pPr>
        <w:pStyle w:val="References"/>
      </w:pPr>
      <w:r w:rsidRPr="006B2638">
        <w:t>Neimanis, A.</w:t>
      </w:r>
      <w:r>
        <w:t xml:space="preserve"> (2007),</w:t>
      </w:r>
      <w:r w:rsidRPr="006B2638">
        <w:t xml:space="preserve"> “Becoming Grizzly: Bodily Molecular</w:t>
      </w:r>
      <w:r>
        <w:t>ity and the Animal that Becomes</w:t>
      </w:r>
      <w:r w:rsidRPr="006B2638">
        <w:t>”</w:t>
      </w:r>
      <w:r>
        <w:t>,</w:t>
      </w:r>
      <w:r w:rsidRPr="006B2638">
        <w:t xml:space="preserve"> </w:t>
      </w:r>
      <w:r w:rsidRPr="00F93153">
        <w:rPr>
          <w:i/>
        </w:rPr>
        <w:t>PhaenEx: Journal of Existential and Phenomenological Theory and Culture</w:t>
      </w:r>
      <w:r>
        <w:t>, 2, 2, pp.</w:t>
      </w:r>
      <w:r w:rsidRPr="006B2638">
        <w:t xml:space="preserve"> 279-308.</w:t>
      </w:r>
    </w:p>
    <w:p w:rsidR="002D463E" w:rsidRPr="006B2638" w:rsidRDefault="002D463E" w:rsidP="00E35253">
      <w:pPr>
        <w:pStyle w:val="References"/>
      </w:pPr>
    </w:p>
    <w:p w:rsidR="002D463E" w:rsidRPr="006B2638" w:rsidRDefault="002D463E" w:rsidP="00E35253">
      <w:pPr>
        <w:pStyle w:val="References"/>
      </w:pPr>
      <w:r w:rsidRPr="006B2638">
        <w:t xml:space="preserve">Oliver, K. </w:t>
      </w:r>
      <w:r>
        <w:t>(</w:t>
      </w:r>
      <w:r w:rsidRPr="006B2638">
        <w:t>2007</w:t>
      </w:r>
      <w:r>
        <w:t>),</w:t>
      </w:r>
      <w:r w:rsidRPr="006B2638">
        <w:t xml:space="preserve"> “Stopping the Anthropological Machine: Agamben w</w:t>
      </w:r>
      <w:r>
        <w:t>ith Heidegger and Merleau-Ponty</w:t>
      </w:r>
      <w:r w:rsidRPr="006B2638">
        <w:t>”</w:t>
      </w:r>
      <w:r>
        <w:t>,</w:t>
      </w:r>
      <w:r w:rsidRPr="006B2638">
        <w:t xml:space="preserve"> </w:t>
      </w:r>
      <w:r w:rsidRPr="00F93153">
        <w:rPr>
          <w:i/>
        </w:rPr>
        <w:t>PhaenEx:</w:t>
      </w:r>
      <w:r>
        <w:rPr>
          <w:i/>
        </w:rPr>
        <w:t xml:space="preserve"> </w:t>
      </w:r>
      <w:r w:rsidRPr="00F93153">
        <w:rPr>
          <w:i/>
        </w:rPr>
        <w:t>Journal of Existential and Phenomenological Theory and Culture</w:t>
      </w:r>
      <w:r>
        <w:t>, 2, 2, pp.</w:t>
      </w:r>
      <w:r w:rsidRPr="006B2638">
        <w:t xml:space="preserve"> 1-23. </w:t>
      </w:r>
    </w:p>
    <w:p w:rsidR="002D463E" w:rsidRPr="006B2638" w:rsidRDefault="002D463E" w:rsidP="00E35253">
      <w:pPr>
        <w:pStyle w:val="References"/>
      </w:pPr>
    </w:p>
    <w:p w:rsidR="002D463E" w:rsidRPr="006B2638" w:rsidRDefault="002D463E" w:rsidP="00E35253">
      <w:pPr>
        <w:pStyle w:val="References"/>
      </w:pPr>
      <w:r w:rsidRPr="006B2638">
        <w:t xml:space="preserve">Rossini, M. and T. Tyler, </w:t>
      </w:r>
      <w:r>
        <w:t>(</w:t>
      </w:r>
      <w:r w:rsidRPr="006B2638">
        <w:t>Eds.</w:t>
      </w:r>
      <w:r>
        <w:t>) (2007),</w:t>
      </w:r>
      <w:r w:rsidRPr="006B2638">
        <w:t xml:space="preserve"> </w:t>
      </w:r>
      <w:r w:rsidRPr="006B2638">
        <w:rPr>
          <w:i/>
        </w:rPr>
        <w:t>Animal Encounters</w:t>
      </w:r>
      <w:r>
        <w:t xml:space="preserve">, </w:t>
      </w:r>
      <w:r w:rsidRPr="006B2638">
        <w:t>Martinus Ni</w:t>
      </w:r>
      <w:r>
        <w:t>jhoff: The Netherlands.</w:t>
      </w:r>
    </w:p>
    <w:p w:rsidR="002D463E" w:rsidRPr="006B2638" w:rsidRDefault="002D463E" w:rsidP="00E35253">
      <w:pPr>
        <w:pStyle w:val="References"/>
      </w:pPr>
    </w:p>
    <w:p w:rsidR="002D463E" w:rsidRPr="006B2638" w:rsidRDefault="002D463E" w:rsidP="00E35253">
      <w:pPr>
        <w:pStyle w:val="References"/>
      </w:pPr>
      <w:r w:rsidRPr="006B2638">
        <w:t>Roughgarden, J.</w:t>
      </w:r>
      <w:r>
        <w:t xml:space="preserve"> (2004),</w:t>
      </w:r>
      <w:r w:rsidRPr="006B2638">
        <w:t xml:space="preserve"> </w:t>
      </w:r>
      <w:r w:rsidRPr="001A5D8E">
        <w:rPr>
          <w:i/>
        </w:rPr>
        <w:t xml:space="preserve">Evolution’s </w:t>
      </w:r>
      <w:r w:rsidRPr="006B2638">
        <w:rPr>
          <w:i/>
        </w:rPr>
        <w:t>Rainbow</w:t>
      </w:r>
      <w:r>
        <w:t>,</w:t>
      </w:r>
      <w:r w:rsidRPr="006B2638">
        <w:t xml:space="preserve"> University of </w:t>
      </w:r>
      <w:r>
        <w:t>California Press: Berkeley</w:t>
      </w:r>
      <w:r w:rsidRPr="006B2638">
        <w:t xml:space="preserve">. </w:t>
      </w:r>
    </w:p>
    <w:p w:rsidR="002D463E" w:rsidRPr="006B2638" w:rsidRDefault="002D463E" w:rsidP="00E35253">
      <w:pPr>
        <w:pStyle w:val="References"/>
      </w:pPr>
    </w:p>
    <w:p w:rsidR="002D463E" w:rsidRPr="00E35253" w:rsidRDefault="002D463E" w:rsidP="00E35253">
      <w:pPr>
        <w:pStyle w:val="References"/>
        <w:rPr>
          <w:szCs w:val="24"/>
        </w:rPr>
      </w:pPr>
      <w:r w:rsidRPr="00E35253">
        <w:rPr>
          <w:szCs w:val="24"/>
        </w:rPr>
        <w:t>Shubin, N. (2008), Your Inner Fish, Pantheon Books: New York.</w:t>
      </w:r>
    </w:p>
    <w:p w:rsidR="00E35253" w:rsidRDefault="00E35253" w:rsidP="00E35253">
      <w:pPr>
        <w:pStyle w:val="References"/>
      </w:pPr>
      <w:r>
        <w:tab/>
      </w:r>
      <w:r w:rsidR="002D463E" w:rsidRPr="00E35253">
        <w:t xml:space="preserve"> “Sea Squirts: Ascidiacea – Behavior and Reproduction.” Retrieved 16 February from: </w:t>
      </w:r>
      <w:hyperlink r:id="rId49" w:history="1">
        <w:r w:rsidR="002D463E" w:rsidRPr="00E35253">
          <w:rPr>
            <w:rStyle w:val="Hyperlink"/>
            <w:color w:val="auto"/>
          </w:rPr>
          <w:t>http://animals.jrank.org/pages/1644/Sea-Squirts-Ascidiacea-BEHAVIOR-REPRODUCTION.html</w:t>
        </w:r>
      </w:hyperlink>
      <w:r w:rsidR="002D463E" w:rsidRPr="00E35253">
        <w:rPr>
          <w:u w:val="single"/>
        </w:rPr>
        <w:t>.</w:t>
      </w:r>
    </w:p>
    <w:p w:rsidR="002D463E" w:rsidRPr="006B2638" w:rsidRDefault="002D463E" w:rsidP="00E35253">
      <w:pPr>
        <w:pStyle w:val="References"/>
      </w:pPr>
      <w:r w:rsidRPr="006B2638">
        <w:t xml:space="preserve"> </w:t>
      </w:r>
    </w:p>
    <w:p w:rsidR="002D463E" w:rsidRPr="006B2638" w:rsidRDefault="002D463E" w:rsidP="00E35253">
      <w:pPr>
        <w:pStyle w:val="References"/>
      </w:pPr>
    </w:p>
    <w:p w:rsidR="002D463E" w:rsidRPr="006B2638" w:rsidRDefault="002D463E" w:rsidP="00E35253">
      <w:pPr>
        <w:pStyle w:val="References"/>
        <w:rPr>
          <w:rFonts w:eastAsia="Times New Roman"/>
          <w:lang w:eastAsia="en-CA"/>
        </w:rPr>
      </w:pPr>
      <w:r>
        <w:t>Toadvine, T</w:t>
      </w:r>
      <w:r w:rsidRPr="006B2638">
        <w:t>.</w:t>
      </w:r>
      <w:r>
        <w:t xml:space="preserve"> (2007),</w:t>
      </w:r>
      <w:r w:rsidRPr="006B2638">
        <w:t xml:space="preserve"> “How Not to be a Jellyfish: Human Exceptionalism</w:t>
      </w:r>
      <w:r>
        <w:t xml:space="preserve"> and the Ontology of Reflection</w:t>
      </w:r>
      <w:r w:rsidRPr="006B2638">
        <w:t>”</w:t>
      </w:r>
      <w:r>
        <w:t>,</w:t>
      </w:r>
      <w:r w:rsidRPr="006B2638">
        <w:t xml:space="preserve"> </w:t>
      </w:r>
      <w:hyperlink r:id="rId50" w:tooltip="Link to the Book of this Chapter" w:history="1">
        <w:r w:rsidRPr="006B2638">
          <w:rPr>
            <w:rFonts w:eastAsia="Times New Roman"/>
            <w:i/>
            <w:lang w:eastAsia="en-CA"/>
          </w:rPr>
          <w:t>Phenomenology And The Non-Human Animal</w:t>
        </w:r>
      </w:hyperlink>
      <w:r>
        <w:rPr>
          <w:rFonts w:eastAsia="Times New Roman"/>
          <w:i/>
          <w:lang w:eastAsia="en-CA"/>
        </w:rPr>
        <w:t>;</w:t>
      </w:r>
      <w:r w:rsidRPr="006B2638">
        <w:rPr>
          <w:rFonts w:eastAsia="Times New Roman"/>
          <w:i/>
          <w:lang w:eastAsia="en-CA"/>
        </w:rPr>
        <w:t xml:space="preserve"> </w:t>
      </w:r>
      <w:hyperlink r:id="rId51" w:tooltip="Link to the Book Series of this Chapter" w:history="1">
        <w:r w:rsidRPr="006B2638">
          <w:rPr>
            <w:rFonts w:eastAsia="Times New Roman"/>
            <w:i/>
            <w:lang w:eastAsia="en-CA"/>
          </w:rPr>
          <w:t>Contributions To Phenomenology</w:t>
        </w:r>
      </w:hyperlink>
      <w:r>
        <w:rPr>
          <w:rFonts w:eastAsia="Times New Roman"/>
          <w:lang w:eastAsia="en-CA"/>
        </w:rPr>
        <w:t>,</w:t>
      </w:r>
      <w:r w:rsidRPr="006B2638">
        <w:rPr>
          <w:rFonts w:eastAsia="Times New Roman"/>
          <w:lang w:eastAsia="en-CA"/>
        </w:rPr>
        <w:t xml:space="preserve"> 56</w:t>
      </w:r>
      <w:r>
        <w:rPr>
          <w:rFonts w:eastAsia="Times New Roman"/>
          <w:lang w:eastAsia="en-CA"/>
        </w:rPr>
        <w:t>, pp.</w:t>
      </w:r>
      <w:r w:rsidRPr="006B2638">
        <w:rPr>
          <w:rFonts w:eastAsia="Times New Roman"/>
          <w:lang w:eastAsia="en-CA"/>
        </w:rPr>
        <w:t xml:space="preserve"> 39-55.</w:t>
      </w:r>
    </w:p>
    <w:p w:rsidR="002D463E" w:rsidRPr="006B2638" w:rsidRDefault="002D463E" w:rsidP="00E35253">
      <w:pPr>
        <w:pStyle w:val="References"/>
        <w:rPr>
          <w:rFonts w:eastAsia="Times New Roman"/>
          <w:lang w:eastAsia="en-CA"/>
        </w:rPr>
      </w:pPr>
    </w:p>
    <w:p w:rsidR="002D463E" w:rsidRPr="006B2638" w:rsidRDefault="002D463E" w:rsidP="00E35253">
      <w:pPr>
        <w:pStyle w:val="References"/>
      </w:pPr>
      <w:r w:rsidRPr="006B2638">
        <w:t>Tsuda, M. et.  al.</w:t>
      </w:r>
      <w:r>
        <w:t xml:space="preserve"> (2001),</w:t>
      </w:r>
      <w:r w:rsidRPr="006B2638">
        <w:t xml:space="preserve"> “Photoresponse and Habituation of Swimming Behavior ofAscidian Larvae, </w:t>
      </w:r>
      <w:r w:rsidRPr="006B2638">
        <w:rPr>
          <w:i/>
        </w:rPr>
        <w:t>Ciona intestinalis</w:t>
      </w:r>
      <w:r w:rsidRPr="006B2638">
        <w:t>”</w:t>
      </w:r>
      <w:r>
        <w:t xml:space="preserve">, in H. </w:t>
      </w:r>
      <w:r w:rsidRPr="006B2638">
        <w:t xml:space="preserve">Sawada, </w:t>
      </w:r>
      <w:r>
        <w:t xml:space="preserve">H. </w:t>
      </w:r>
      <w:r w:rsidRPr="006B2638">
        <w:t xml:space="preserve">Yokosawa and </w:t>
      </w:r>
      <w:r>
        <w:t xml:space="preserve">C. C. </w:t>
      </w:r>
      <w:r w:rsidRPr="006B2638">
        <w:t>Lambert</w:t>
      </w:r>
      <w:r>
        <w:t xml:space="preserve"> (Eds.)</w:t>
      </w:r>
      <w:r w:rsidRPr="006B2638">
        <w:rPr>
          <w:i/>
        </w:rPr>
        <w:t xml:space="preserve"> The Biology of</w:t>
      </w:r>
      <w:r w:rsidRPr="006B2638">
        <w:t xml:space="preserve"> </w:t>
      </w:r>
      <w:r w:rsidRPr="006B2638">
        <w:rPr>
          <w:i/>
        </w:rPr>
        <w:t>Ascidians</w:t>
      </w:r>
      <w:r>
        <w:t>, Springer: New York, pp.</w:t>
      </w:r>
      <w:r w:rsidRPr="006B2638">
        <w:t xml:space="preserve"> 153-158.</w:t>
      </w:r>
    </w:p>
    <w:p w:rsidR="002D463E" w:rsidRPr="006B2638" w:rsidRDefault="002D463E" w:rsidP="00E35253">
      <w:pPr>
        <w:pStyle w:val="References"/>
      </w:pPr>
    </w:p>
    <w:p w:rsidR="002D463E" w:rsidRPr="00812510" w:rsidRDefault="002D463E" w:rsidP="00E35253">
      <w:pPr>
        <w:pStyle w:val="References"/>
      </w:pPr>
      <w:r w:rsidRPr="006B2638">
        <w:t>Virata, M. and Zeller, R.</w:t>
      </w:r>
      <w:r>
        <w:t xml:space="preserve"> (2010), “Ascidians: An Invertebrate Chordate Model to Study Alzheimer's Disease Pathogenesis</w:t>
      </w:r>
      <w:r w:rsidRPr="006B2638">
        <w:t>”</w:t>
      </w:r>
      <w:r>
        <w:t>,</w:t>
      </w:r>
      <w:r w:rsidRPr="006B2638">
        <w:t xml:space="preserve"> </w:t>
      </w:r>
      <w:r w:rsidRPr="006B2638">
        <w:rPr>
          <w:i/>
        </w:rPr>
        <w:t>Disease</w:t>
      </w:r>
      <w:r w:rsidRPr="006B2638">
        <w:rPr>
          <w:rStyle w:val="HTMLCite"/>
          <w:szCs w:val="24"/>
        </w:rPr>
        <w:t xml:space="preserve"> </w:t>
      </w:r>
      <w:r w:rsidRPr="006B2638">
        <w:rPr>
          <w:rStyle w:val="search-result-highlight"/>
          <w:i/>
          <w:iCs/>
          <w:szCs w:val="24"/>
        </w:rPr>
        <w:t>M</w:t>
      </w:r>
      <w:r w:rsidRPr="006B2638">
        <w:rPr>
          <w:rStyle w:val="HTMLCite"/>
          <w:szCs w:val="24"/>
        </w:rPr>
        <w:t xml:space="preserve">odel and </w:t>
      </w:r>
      <w:r w:rsidRPr="006B2638">
        <w:rPr>
          <w:rStyle w:val="search-result-highlight"/>
          <w:i/>
          <w:iCs/>
          <w:szCs w:val="24"/>
        </w:rPr>
        <w:t>M</w:t>
      </w:r>
      <w:r>
        <w:rPr>
          <w:rStyle w:val="HTMLCite"/>
          <w:szCs w:val="24"/>
        </w:rPr>
        <w:t>echanism</w:t>
      </w:r>
      <w:r>
        <w:rPr>
          <w:rStyle w:val="HTMLCite"/>
          <w:i w:val="0"/>
          <w:szCs w:val="24"/>
        </w:rPr>
        <w:t>,</w:t>
      </w:r>
      <w:r w:rsidRPr="006B2638">
        <w:rPr>
          <w:rStyle w:val="HTMLCite"/>
          <w:szCs w:val="24"/>
        </w:rPr>
        <w:t xml:space="preserve"> </w:t>
      </w:r>
      <w:r w:rsidRPr="006B2638">
        <w:rPr>
          <w:rStyle w:val="HTMLCite"/>
          <w:i w:val="0"/>
          <w:szCs w:val="24"/>
        </w:rPr>
        <w:t>3</w:t>
      </w:r>
      <w:r>
        <w:rPr>
          <w:rStyle w:val="HTMLCite"/>
          <w:i w:val="0"/>
          <w:szCs w:val="24"/>
        </w:rPr>
        <w:t>,</w:t>
      </w:r>
      <w:r w:rsidRPr="006B2638">
        <w:rPr>
          <w:rStyle w:val="cit-print-date"/>
          <w:i/>
          <w:iCs/>
          <w:szCs w:val="24"/>
        </w:rPr>
        <w:t xml:space="preserve"> </w:t>
      </w:r>
      <w:r>
        <w:rPr>
          <w:rStyle w:val="cit-print-date"/>
          <w:iCs/>
          <w:szCs w:val="24"/>
        </w:rPr>
        <w:t xml:space="preserve">pp. </w:t>
      </w:r>
      <w:r w:rsidRPr="00812510">
        <w:rPr>
          <w:rStyle w:val="cit-first-page"/>
          <w:iCs/>
          <w:szCs w:val="24"/>
        </w:rPr>
        <w:t>377</w:t>
      </w:r>
      <w:r w:rsidRPr="00812510">
        <w:rPr>
          <w:rStyle w:val="cit-sep"/>
          <w:iCs/>
          <w:szCs w:val="24"/>
        </w:rPr>
        <w:t>-</w:t>
      </w:r>
      <w:r w:rsidRPr="00812510">
        <w:rPr>
          <w:rStyle w:val="cit-last-page"/>
          <w:iCs/>
          <w:szCs w:val="24"/>
        </w:rPr>
        <w:t>385</w:t>
      </w:r>
      <w:r>
        <w:rPr>
          <w:rStyle w:val="cit-sep"/>
          <w:iCs/>
          <w:szCs w:val="24"/>
        </w:rPr>
        <w:t>.</w:t>
      </w:r>
    </w:p>
    <w:p w:rsidR="002D463E" w:rsidRPr="006B2638" w:rsidRDefault="002D463E" w:rsidP="00E35253">
      <w:pPr>
        <w:pStyle w:val="References"/>
        <w:rPr>
          <w:bCs/>
        </w:rPr>
      </w:pPr>
    </w:p>
    <w:p w:rsidR="002D463E" w:rsidRPr="006B2638" w:rsidRDefault="002D463E" w:rsidP="00E35253">
      <w:pPr>
        <w:pStyle w:val="References"/>
      </w:pPr>
      <w:r w:rsidRPr="006B2638">
        <w:rPr>
          <w:bCs/>
        </w:rPr>
        <w:t>Van Meter, V.</w:t>
      </w:r>
      <w:r>
        <w:rPr>
          <w:bCs/>
        </w:rPr>
        <w:t xml:space="preserve"> (1989),</w:t>
      </w:r>
      <w:r w:rsidRPr="006B2638">
        <w:rPr>
          <w:bCs/>
        </w:rPr>
        <w:t xml:space="preserve"> </w:t>
      </w:r>
      <w:r w:rsidRPr="006B2638">
        <w:rPr>
          <w:bCs/>
          <w:i/>
        </w:rPr>
        <w:t>The Florida Manatee</w:t>
      </w:r>
      <w:r>
        <w:rPr>
          <w:bCs/>
        </w:rPr>
        <w:t>,</w:t>
      </w:r>
      <w:r w:rsidRPr="006B2638">
        <w:rPr>
          <w:bCs/>
        </w:rPr>
        <w:t xml:space="preserve"> </w:t>
      </w:r>
      <w:r w:rsidRPr="006B2638">
        <w:t>Florida</w:t>
      </w:r>
      <w:r>
        <w:t xml:space="preserve"> Power &amp; Light Company: Miami.</w:t>
      </w:r>
    </w:p>
    <w:p w:rsidR="002D463E" w:rsidRPr="006B2638" w:rsidRDefault="002D463E" w:rsidP="00E35253">
      <w:pPr>
        <w:pStyle w:val="References"/>
      </w:pPr>
    </w:p>
    <w:p w:rsidR="002D463E" w:rsidRPr="006B2638" w:rsidRDefault="002D463E" w:rsidP="00E35253">
      <w:pPr>
        <w:pStyle w:val="References"/>
      </w:pPr>
      <w:r w:rsidRPr="006B2638">
        <w:t>Van Wyck, P.</w:t>
      </w:r>
      <w:r>
        <w:t xml:space="preserve"> (2004).</w:t>
      </w:r>
      <w:r w:rsidRPr="006B2638">
        <w:t xml:space="preserve"> </w:t>
      </w:r>
      <w:r w:rsidRPr="006B2638">
        <w:rPr>
          <w:i/>
        </w:rPr>
        <w:t>Signs of Danger: Waste, Trauma and Nuclear Threat</w:t>
      </w:r>
      <w:r>
        <w:t>,</w:t>
      </w:r>
      <w:r w:rsidRPr="006B2638">
        <w:t xml:space="preserve"> Univeristy of Mi</w:t>
      </w:r>
      <w:r>
        <w:t>nnesota Press: Minnesota.</w:t>
      </w:r>
    </w:p>
    <w:p w:rsidR="002D463E" w:rsidRPr="006B2638" w:rsidRDefault="002D463E" w:rsidP="00E35253">
      <w:pPr>
        <w:pStyle w:val="References"/>
      </w:pPr>
    </w:p>
    <w:p w:rsidR="002D463E" w:rsidRDefault="002D463E" w:rsidP="00E35253">
      <w:pPr>
        <w:pStyle w:val="References"/>
        <w:rPr>
          <w:rFonts w:eastAsia="Times New Roman"/>
          <w:lang w:eastAsia="en-CA"/>
        </w:rPr>
      </w:pPr>
      <w:r w:rsidRPr="006B2638">
        <w:rPr>
          <w:rFonts w:eastAsia="Times New Roman"/>
          <w:bCs/>
          <w:lang w:eastAsia="en-CA"/>
        </w:rPr>
        <w:t>Williams, G.</w:t>
      </w:r>
      <w:r>
        <w:rPr>
          <w:rFonts w:eastAsia="Times New Roman"/>
          <w:bCs/>
          <w:lang w:eastAsia="en-CA"/>
        </w:rPr>
        <w:t xml:space="preserve"> (2005),</w:t>
      </w:r>
      <w:r w:rsidRPr="006B2638">
        <w:rPr>
          <w:rFonts w:eastAsia="Times New Roman"/>
          <w:bCs/>
          <w:lang w:eastAsia="en-CA"/>
        </w:rPr>
        <w:t xml:space="preserve"> “Toxic Breast Milk?”</w:t>
      </w:r>
      <w:r>
        <w:rPr>
          <w:rFonts w:eastAsia="Times New Roman"/>
          <w:bCs/>
          <w:lang w:eastAsia="en-CA"/>
        </w:rPr>
        <w:t>,</w:t>
      </w:r>
      <w:r w:rsidRPr="006B2638">
        <w:rPr>
          <w:rFonts w:eastAsia="Times New Roman"/>
          <w:bCs/>
          <w:lang w:eastAsia="en-CA"/>
        </w:rPr>
        <w:t xml:space="preserve"> New York Times Magazine</w:t>
      </w:r>
      <w:r>
        <w:rPr>
          <w:rFonts w:eastAsia="Times New Roman"/>
          <w:bCs/>
          <w:lang w:eastAsia="en-CA"/>
        </w:rPr>
        <w:t>, January 9</w:t>
      </w:r>
      <w:r w:rsidRPr="006B2638">
        <w:rPr>
          <w:rFonts w:eastAsia="Times New Roman"/>
          <w:bCs/>
          <w:lang w:eastAsia="en-CA"/>
        </w:rPr>
        <w:t>.</w:t>
      </w:r>
      <w:r>
        <w:rPr>
          <w:rFonts w:eastAsia="Times New Roman"/>
          <w:bCs/>
          <w:lang w:eastAsia="en-CA"/>
        </w:rPr>
        <w:t xml:space="preserve"> Retrieved</w:t>
      </w:r>
      <w:r w:rsidRPr="006B2638">
        <w:rPr>
          <w:rFonts w:eastAsia="Times New Roman"/>
          <w:bCs/>
          <w:lang w:eastAsia="en-CA"/>
        </w:rPr>
        <w:t xml:space="preserve"> </w:t>
      </w:r>
      <w:r w:rsidRPr="006B2638">
        <w:rPr>
          <w:rFonts w:eastAsia="Times New Roman"/>
          <w:lang w:eastAsia="en-CA"/>
        </w:rPr>
        <w:t>16 February 2011</w:t>
      </w:r>
      <w:r>
        <w:rPr>
          <w:rFonts w:eastAsia="Times New Roman"/>
          <w:lang w:eastAsia="en-CA"/>
        </w:rPr>
        <w:t xml:space="preserve"> from: </w:t>
      </w:r>
    </w:p>
    <w:p w:rsidR="002D463E" w:rsidRPr="006B2638" w:rsidRDefault="002D463E" w:rsidP="00E35253">
      <w:pPr>
        <w:pStyle w:val="References"/>
        <w:rPr>
          <w:rFonts w:eastAsia="Times New Roman"/>
          <w:lang w:eastAsia="en-CA"/>
        </w:rPr>
      </w:pPr>
      <w:r>
        <w:rPr>
          <w:rFonts w:eastAsia="Times New Roman"/>
          <w:lang w:eastAsia="en-CA"/>
        </w:rPr>
        <w:tab/>
      </w:r>
      <w:hyperlink r:id="rId52" w:history="1">
        <w:r w:rsidRPr="006B2638">
          <w:rPr>
            <w:rStyle w:val="Hyperlink"/>
            <w:rFonts w:eastAsia="Times New Roman"/>
            <w:bCs/>
            <w:szCs w:val="24"/>
            <w:lang w:eastAsia="en-CA"/>
          </w:rPr>
          <w:t>http://www.nytimes.com/2005/01/09/magazine/09TOXIC.html?pagewanted=1&amp;_r=1</w:t>
        </w:r>
      </w:hyperlink>
      <w:r>
        <w:rPr>
          <w:rFonts w:eastAsia="Times New Roman"/>
          <w:bCs/>
          <w:lang w:eastAsia="en-CA"/>
        </w:rPr>
        <w:t>.</w:t>
      </w:r>
    </w:p>
    <w:p w:rsidR="002D463E" w:rsidRPr="006B2638" w:rsidRDefault="002D463E" w:rsidP="00E35253">
      <w:pPr>
        <w:pStyle w:val="References"/>
        <w:rPr>
          <w:rFonts w:eastAsia="Times New Roman"/>
          <w:lang w:eastAsia="en-CA"/>
        </w:rPr>
      </w:pPr>
    </w:p>
    <w:p w:rsidR="002D463E" w:rsidRDefault="002D463E" w:rsidP="00E35253">
      <w:pPr>
        <w:pStyle w:val="References"/>
        <w:rPr>
          <w:rFonts w:eastAsia="Times New Roman"/>
          <w:lang w:eastAsia="en-CA"/>
        </w:rPr>
      </w:pPr>
      <w:r>
        <w:rPr>
          <w:rFonts w:eastAsia="Times New Roman"/>
          <w:lang w:eastAsia="en-CA"/>
        </w:rPr>
        <w:t>Whitaker, B</w:t>
      </w:r>
      <w:r w:rsidRPr="006B2638">
        <w:rPr>
          <w:rFonts w:eastAsia="Times New Roman"/>
          <w:lang w:eastAsia="en-CA"/>
        </w:rPr>
        <w:t>.</w:t>
      </w:r>
      <w:r>
        <w:rPr>
          <w:rFonts w:eastAsia="Times New Roman"/>
          <w:lang w:eastAsia="en-CA"/>
        </w:rPr>
        <w:t xml:space="preserve"> (2010), </w:t>
      </w:r>
      <w:r w:rsidRPr="006B2638">
        <w:rPr>
          <w:rFonts w:eastAsia="Times New Roman"/>
          <w:lang w:eastAsia="en-CA"/>
        </w:rPr>
        <w:t>“Arizona Lawmake</w:t>
      </w:r>
      <w:r>
        <w:rPr>
          <w:rFonts w:eastAsia="Times New Roman"/>
          <w:lang w:eastAsia="en-CA"/>
        </w:rPr>
        <w:t>rs to Crack Down on Immigration</w:t>
      </w:r>
      <w:r w:rsidRPr="006B2638">
        <w:rPr>
          <w:rFonts w:eastAsia="Times New Roman"/>
          <w:lang w:eastAsia="en-CA"/>
        </w:rPr>
        <w:t>”</w:t>
      </w:r>
      <w:r>
        <w:rPr>
          <w:rFonts w:eastAsia="Times New Roman"/>
          <w:lang w:eastAsia="en-CA"/>
        </w:rPr>
        <w:t>,</w:t>
      </w:r>
      <w:r w:rsidRPr="006B2638">
        <w:rPr>
          <w:rFonts w:eastAsia="Times New Roman"/>
          <w:lang w:eastAsia="en-CA"/>
        </w:rPr>
        <w:t xml:space="preserve"> CBS New</w:t>
      </w:r>
      <w:r>
        <w:rPr>
          <w:rFonts w:eastAsia="Times New Roman"/>
          <w:lang w:eastAsia="en-CA"/>
        </w:rPr>
        <w:t>s Online, April 16. Retrieved 16 February 2011 from:</w:t>
      </w:r>
    </w:p>
    <w:p w:rsidR="002D463E" w:rsidRPr="006B2638" w:rsidRDefault="002D463E" w:rsidP="00E35253">
      <w:pPr>
        <w:pStyle w:val="References"/>
        <w:rPr>
          <w:rFonts w:eastAsia="Times New Roman"/>
          <w:lang w:eastAsia="en-CA"/>
        </w:rPr>
      </w:pPr>
      <w:r>
        <w:rPr>
          <w:rFonts w:eastAsia="Times New Roman"/>
          <w:lang w:eastAsia="en-CA"/>
        </w:rPr>
        <w:tab/>
      </w:r>
      <w:hyperlink r:id="rId53" w:history="1">
        <w:r w:rsidRPr="006B2638">
          <w:rPr>
            <w:rStyle w:val="Hyperlink"/>
            <w:rFonts w:eastAsia="Times New Roman"/>
            <w:szCs w:val="24"/>
            <w:lang w:eastAsia="en-CA"/>
          </w:rPr>
          <w:t>http://www.cbsnews.com/stories/2010/04/16/eveningnews/main6403983.shtml. 16 April 2010</w:t>
        </w:r>
      </w:hyperlink>
      <w:r>
        <w:rPr>
          <w:rFonts w:eastAsia="Times New Roman"/>
          <w:lang w:eastAsia="en-CA"/>
        </w:rPr>
        <w:t>.</w:t>
      </w:r>
    </w:p>
    <w:p w:rsidR="002D463E" w:rsidRPr="006B2638" w:rsidRDefault="002D463E" w:rsidP="00E35253">
      <w:pPr>
        <w:pStyle w:val="References"/>
      </w:pPr>
    </w:p>
    <w:p w:rsidR="002D463E" w:rsidRDefault="002D463E" w:rsidP="00E35253">
      <w:pPr>
        <w:pStyle w:val="References"/>
      </w:pPr>
      <w:r>
        <w:t>Wikipaedia (n.d.),</w:t>
      </w:r>
      <w:r w:rsidRPr="006B2638">
        <w:t xml:space="preserve"> “Ascidiac</w:t>
      </w:r>
      <w:r>
        <w:t>ea</w:t>
      </w:r>
      <w:r w:rsidRPr="006B2638">
        <w:t>”</w:t>
      </w:r>
      <w:r>
        <w:t>. Retrieved 16 February from:</w:t>
      </w:r>
    </w:p>
    <w:p w:rsidR="002D463E" w:rsidRPr="006B2638" w:rsidRDefault="00E35253" w:rsidP="00E35253">
      <w:pPr>
        <w:pStyle w:val="References"/>
      </w:pPr>
      <w:r>
        <w:tab/>
      </w:r>
      <w:hyperlink r:id="rId54" w:history="1">
        <w:r w:rsidR="002D463E" w:rsidRPr="000667C2">
          <w:rPr>
            <w:rStyle w:val="Hyperlink"/>
            <w:szCs w:val="24"/>
          </w:rPr>
          <w:t>http://en.wikipedia.org/wiki/Ascidiacea</w:t>
        </w:r>
      </w:hyperlink>
      <w:r w:rsidR="002D463E">
        <w:t xml:space="preserve">. </w:t>
      </w:r>
      <w:r w:rsidR="002D463E" w:rsidRPr="006B2638">
        <w:t xml:space="preserve"> </w:t>
      </w:r>
    </w:p>
    <w:p w:rsidR="002D463E" w:rsidRPr="006B2638" w:rsidRDefault="002D463E" w:rsidP="00E35253">
      <w:pPr>
        <w:pStyle w:val="References"/>
      </w:pPr>
    </w:p>
    <w:p w:rsidR="002D463E" w:rsidRPr="006B2638" w:rsidRDefault="002D463E" w:rsidP="00E35253">
      <w:pPr>
        <w:pStyle w:val="References"/>
      </w:pPr>
      <w:r>
        <w:t>Wilson, E.</w:t>
      </w:r>
      <w:r w:rsidRPr="006B2638">
        <w:t xml:space="preserve"> A.</w:t>
      </w:r>
      <w:r>
        <w:t xml:space="preserve"> (2008),</w:t>
      </w:r>
      <w:r w:rsidRPr="006B2638">
        <w:t xml:space="preserve"> “Organic Empary: Feminism, Psychopharmaceuticals a</w:t>
      </w:r>
      <w:r>
        <w:t>nd the Embodiment of Depression</w:t>
      </w:r>
      <w:r w:rsidRPr="006B2638">
        <w:t>”</w:t>
      </w:r>
      <w:r>
        <w:t>, in</w:t>
      </w:r>
      <w:r w:rsidRPr="006B2638">
        <w:t xml:space="preserve"> Alaimo</w:t>
      </w:r>
      <w:r>
        <w:t>, S.</w:t>
      </w:r>
      <w:r w:rsidRPr="006B2638">
        <w:t xml:space="preserve"> and S. Hekman</w:t>
      </w:r>
      <w:r>
        <w:t xml:space="preserve"> (Eds.)</w:t>
      </w:r>
      <w:r w:rsidRPr="006B2638">
        <w:t xml:space="preserve"> </w:t>
      </w:r>
      <w:r w:rsidRPr="006B2638">
        <w:rPr>
          <w:i/>
        </w:rPr>
        <w:t>Material Feminisms</w:t>
      </w:r>
      <w:r>
        <w:t xml:space="preserve">, </w:t>
      </w:r>
      <w:r w:rsidRPr="006B2638">
        <w:t>University of Indian</w:t>
      </w:r>
      <w:r>
        <w:t xml:space="preserve">a Press: Bloomington, pp. </w:t>
      </w:r>
      <w:r w:rsidRPr="006B2638">
        <w:t>273-399.</w:t>
      </w:r>
    </w:p>
    <w:p w:rsidR="002D463E" w:rsidRPr="006B2638" w:rsidRDefault="002D463E" w:rsidP="00E35253">
      <w:pPr>
        <w:pStyle w:val="References"/>
      </w:pPr>
    </w:p>
    <w:p w:rsidR="002D463E" w:rsidRDefault="002D463E" w:rsidP="00E35253">
      <w:pPr>
        <w:pStyle w:val="References"/>
        <w:sectPr w:rsidR="002D463E" w:rsidSect="000175E0">
          <w:headerReference w:type="even" r:id="rId55"/>
          <w:headerReference w:type="default" r:id="rId56"/>
          <w:footerReference w:type="default" r:id="rId57"/>
          <w:headerReference w:type="first" r:id="rId58"/>
          <w:footnotePr>
            <w:numRestart w:val="eachSect"/>
          </w:footnotePr>
          <w:pgSz w:w="11907" w:h="16839" w:code="9"/>
          <w:pgMar w:top="1440" w:right="1800" w:bottom="1440" w:left="1800" w:header="720" w:footer="720" w:gutter="0"/>
          <w:cols w:space="720"/>
          <w:docGrid w:linePitch="360"/>
        </w:sectPr>
      </w:pPr>
      <w:r w:rsidRPr="006B2638">
        <w:t>Zimmer, C.</w:t>
      </w:r>
      <w:r>
        <w:t xml:space="preserve"> (1998),</w:t>
      </w:r>
      <w:r w:rsidRPr="006B2638">
        <w:t xml:space="preserve"> </w:t>
      </w:r>
      <w:r w:rsidRPr="006B2638">
        <w:rPr>
          <w:i/>
        </w:rPr>
        <w:t>At the Water’s Edge</w:t>
      </w:r>
      <w:r>
        <w:t>, Touchstone: New York</w:t>
      </w:r>
    </w:p>
    <w:p w:rsidR="002D463E" w:rsidRPr="00F81000" w:rsidRDefault="002D463E" w:rsidP="003A1AFF">
      <w:pPr>
        <w:pStyle w:val="Heading1"/>
      </w:pPr>
      <w:bookmarkStart w:id="87" w:name="_Toc292202638"/>
      <w:r w:rsidRPr="00F81000">
        <w:t>Sounding Depth with the North Atlantic Right Whale and Merleau-Ponty:</w:t>
      </w:r>
      <w:r>
        <w:t xml:space="preserve"> </w:t>
      </w:r>
      <w:r w:rsidRPr="00F81000">
        <w:t>An Exercise in Comparative Phenomenology</w:t>
      </w:r>
      <w:bookmarkEnd w:id="87"/>
    </w:p>
    <w:p w:rsidR="002D463E" w:rsidRPr="00F81000" w:rsidRDefault="002D463E" w:rsidP="003A1AFF"/>
    <w:p w:rsidR="002D463E" w:rsidRPr="00F81000" w:rsidRDefault="002D463E" w:rsidP="003A1AFF">
      <w:pPr>
        <w:pStyle w:val="Heading1"/>
      </w:pPr>
      <w:bookmarkStart w:id="88" w:name="_Toc292202639"/>
      <w:r w:rsidRPr="00F81000">
        <w:t>Jen McWeeny</w:t>
      </w:r>
      <w:r w:rsidRPr="00F81000">
        <w:rPr>
          <w:rStyle w:val="FootnoteReference"/>
          <w:b w:val="0"/>
          <w:sz w:val="32"/>
          <w:szCs w:val="32"/>
        </w:rPr>
        <w:footnoteReference w:id="48"/>
      </w:r>
      <w:bookmarkEnd w:id="88"/>
    </w:p>
    <w:p w:rsidR="002D463E" w:rsidRPr="0037207E" w:rsidRDefault="002D463E" w:rsidP="002D463E">
      <w:pPr>
        <w:rPr>
          <w:b/>
        </w:rPr>
      </w:pPr>
    </w:p>
    <w:p w:rsidR="002D463E" w:rsidRPr="00335666" w:rsidRDefault="002D463E" w:rsidP="002D463E">
      <w:r w:rsidRPr="00335666">
        <w:t>The North Atlantic right whale is an endangered species whose current population size is estimated to be between 350 and 400 individual animals.</w:t>
      </w:r>
      <w:r>
        <w:rPr>
          <w:rStyle w:val="FootnoteReference"/>
        </w:rPr>
        <w:footnoteReference w:id="49"/>
      </w:r>
      <w:r>
        <w:t xml:space="preserve"> </w:t>
      </w:r>
      <w:r w:rsidRPr="00335666">
        <w:t>North Atlantic right whales are primarily found off the coasts of the North Eastern United States and Eastern Canada for the majority of the year, but in the winter they migrate south to the waters off of Florida and Georgia to give birth.</w:t>
      </w:r>
      <w:r>
        <w:t xml:space="preserve"> </w:t>
      </w:r>
      <w:r w:rsidRPr="00335666">
        <w:t>Their dangerously small population size is a direct result of the whaling industry, which hunted the right whale almost to extinction until an international ban was instituted against harvesting them in 1935 (Kraus and Rolland</w:t>
      </w:r>
      <w:r>
        <w:t>, 2007:</w:t>
      </w:r>
      <w:r w:rsidRPr="00335666">
        <w:t xml:space="preserve"> 5).</w:t>
      </w:r>
      <w:r>
        <w:t xml:space="preserve"> </w:t>
      </w:r>
      <w:r w:rsidRPr="00335666">
        <w:t xml:space="preserve">The industry also gave the species, whose scientific name is </w:t>
      </w:r>
      <w:r w:rsidRPr="00335666">
        <w:rPr>
          <w:i/>
        </w:rPr>
        <w:t>Eubalaena glacialis</w:t>
      </w:r>
      <w:r w:rsidRPr="00335666">
        <w:t>, its common name;</w:t>
      </w:r>
      <w:r>
        <w:t xml:space="preserve"> it was well-</w:t>
      </w:r>
      <w:r w:rsidRPr="00335666">
        <w:t>know</w:t>
      </w:r>
      <w:r>
        <w:t>n</w:t>
      </w:r>
      <w:r w:rsidRPr="00335666">
        <w:t xml:space="preserve"> among hunters that these animals were “the right whale to kill” due to their </w:t>
      </w:r>
      <w:r w:rsidRPr="00467C85">
        <w:t>high concentrations</w:t>
      </w:r>
      <w:r w:rsidRPr="00335666">
        <w:t xml:space="preserve"> of blubber, their slow swimming speed relative to other whales, and the fact that right whale bodies float when dead.</w:t>
      </w:r>
    </w:p>
    <w:p w:rsidR="002D463E" w:rsidRDefault="002D463E" w:rsidP="002D463E"/>
    <w:p w:rsidR="002D463E" w:rsidRPr="00335666" w:rsidRDefault="002D463E" w:rsidP="002D463E">
      <w:r w:rsidRPr="00335666">
        <w:t xml:space="preserve">The North Atlantic right whale population has been slow to rebound from its decimation for several reasons, including the animal’s </w:t>
      </w:r>
      <w:r w:rsidRPr="00467C85">
        <w:t>reproductive biology</w:t>
      </w:r>
      <w:r w:rsidRPr="00335666">
        <w:t xml:space="preserve"> and low levels of genetic variation within the remaining members of the species.</w:t>
      </w:r>
      <w:r>
        <w:t xml:space="preserve"> </w:t>
      </w:r>
      <w:r w:rsidRPr="00335666">
        <w:t>Female right whales do not reach sexual maturity until they are about ten</w:t>
      </w:r>
      <w:r>
        <w:t xml:space="preserve"> years of age, after which</w:t>
      </w:r>
      <w:r w:rsidRPr="00335666">
        <w:t xml:space="preserve"> they will only reproduce once every three to five years with gestation periods of approximately twelve months (Kraus et al.</w:t>
      </w:r>
      <w:r>
        <w:t>, 2007:</w:t>
      </w:r>
      <w:r w:rsidRPr="00335666">
        <w:t xml:space="preserve"> 179-184).</w:t>
      </w:r>
      <w:r>
        <w:t xml:space="preserve"> </w:t>
      </w:r>
      <w:r w:rsidRPr="00335666">
        <w:t>At birth, right whale calves are between four to five meters (13-16 feet) long and weigh up to one ton</w:t>
      </w:r>
      <w:r>
        <w:t xml:space="preserve"> (Kraus et al. 2007:</w:t>
      </w:r>
      <w:r w:rsidRPr="00335666">
        <w:t xml:space="preserve"> 178).</w:t>
      </w:r>
      <w:r>
        <w:t xml:space="preserve"> </w:t>
      </w:r>
      <w:r w:rsidRPr="00335666">
        <w:t xml:space="preserve">They will soon grow to lengths of eleven to eighteen meters (36-59 feet) and weigh between </w:t>
      </w:r>
      <w:r>
        <w:t>36 and 72</w:t>
      </w:r>
      <w:r w:rsidRPr="00335666">
        <w:t xml:space="preserve"> tons</w:t>
      </w:r>
      <w:r>
        <w:t xml:space="preserve"> (Kraus and Rolland, 2007:</w:t>
      </w:r>
      <w:r w:rsidRPr="00335666">
        <w:t xml:space="preserve"> 14).</w:t>
      </w:r>
      <w:r>
        <w:t xml:space="preserve"> Like most large cetaceans, full-</w:t>
      </w:r>
      <w:r w:rsidRPr="00335666">
        <w:t>grown right whales have no known predators except humans, although calves are sometimes preyed upon by pods of killer whales.</w:t>
      </w:r>
    </w:p>
    <w:p w:rsidR="002D463E" w:rsidRDefault="002D463E" w:rsidP="002D463E"/>
    <w:p w:rsidR="002D463E" w:rsidRPr="00335666" w:rsidRDefault="002D463E" w:rsidP="002D463E">
      <w:r w:rsidRPr="00335666">
        <w:t>Another factor in the slow recovery of the species is an increasing number of right whale mortalities caused by ship-strikes and entanglements.</w:t>
      </w:r>
      <w:r w:rsidRPr="00335666">
        <w:rPr>
          <w:rStyle w:val="FootnoteReference"/>
        </w:rPr>
        <w:footnoteReference w:id="50"/>
      </w:r>
      <w:r>
        <w:t xml:space="preserve"> </w:t>
      </w:r>
      <w:r w:rsidRPr="00335666">
        <w:t>Pregnant females and females with calves are especially in danger of ship-strikes because they are slower-moving than other individuals in their species and more likely to stay close to the shore.</w:t>
      </w:r>
      <w:r>
        <w:t xml:space="preserve"> </w:t>
      </w:r>
      <w:r w:rsidRPr="00335666">
        <w:t>Indeed, the lives of North Atlantic right whales are so affected by ship-strikes and entanglements that they have recently been dubbed “the urban whale” by scientists Scott D. Kraus and Rosalind M. Rolland in their book of that title (2007).</w:t>
      </w:r>
      <w:r>
        <w:t xml:space="preserve"> </w:t>
      </w:r>
      <w:r w:rsidRPr="00335666">
        <w:t>As these researchers write,</w:t>
      </w:r>
    </w:p>
    <w:p w:rsidR="002D463E" w:rsidRDefault="002D463E" w:rsidP="002D463E">
      <w:pPr>
        <w:ind w:left="720"/>
      </w:pPr>
    </w:p>
    <w:p w:rsidR="002D463E" w:rsidRPr="00335666" w:rsidRDefault="002D463E" w:rsidP="002D463E">
      <w:pPr>
        <w:ind w:left="737" w:right="737"/>
      </w:pPr>
      <w:r w:rsidRPr="00335666">
        <w:t>Between shipping, fishing, ocean noise, pollution (including sewage effluent and agricultural and industrial runoff), the coastal zone of Eastern North America is one of the most urbanized pieces of ocean in the world.</w:t>
      </w:r>
      <w:r>
        <w:t xml:space="preserve"> </w:t>
      </w:r>
      <w:r w:rsidRPr="00335666">
        <w:t>And right whales, many of which live within that zone for most of their lives, are thus a new phenomenon in the marine w</w:t>
      </w:r>
      <w:r>
        <w:t>orld—a truly urban whale. (2007:</w:t>
      </w:r>
      <w:r w:rsidRPr="00335666">
        <w:t xml:space="preserve"> 4)</w:t>
      </w:r>
    </w:p>
    <w:p w:rsidR="002D463E" w:rsidRPr="00335666" w:rsidRDefault="002D463E" w:rsidP="002D463E"/>
    <w:p w:rsidR="002D463E" w:rsidRPr="00335666" w:rsidRDefault="002D463E" w:rsidP="002D463E">
      <w:r w:rsidRPr="00335666">
        <w:t>Kraus and Rolland argue that the North Atlantic right whale is afflicted with what they call “the urban whale syndrome,” the symptoms of which are increased mortality from human activities, decreased reproduction, poor body condition including scars and skin lesions, and habitat loss (490).</w:t>
      </w:r>
      <w:r>
        <w:t xml:space="preserve"> </w:t>
      </w:r>
      <w:r w:rsidRPr="00335666">
        <w:t>North Atlantic right whales are not the only cetaceans manifesting symptoms of this syndrome.</w:t>
      </w:r>
      <w:r>
        <w:t xml:space="preserve"> </w:t>
      </w:r>
      <w:r w:rsidRPr="00335666">
        <w:t>Kraus and Rolland also cite inland killer whales in the Pacific Northwest, Beluga whales of the St. Lawrence River, and the Indo-Pacific humpbacked dolphin as populations that are showing signs of decline due to their proximity to human industry (498-501).</w:t>
      </w:r>
      <w:r>
        <w:t xml:space="preserve"> </w:t>
      </w:r>
      <w:r w:rsidRPr="00335666">
        <w:t xml:space="preserve">The insight behind Kraus and Rolland’s moniker for the North Atlantic right whale is that just as the health and survival of humans </w:t>
      </w:r>
      <w:r>
        <w:t>have</w:t>
      </w:r>
      <w:r w:rsidRPr="00335666">
        <w:t xml:space="preserve"> been shown to diminish when they live in urban areas for prolonged periods of time, so too with nonhuman animals whose habitat has become thoroughly and in some cases irrevocably urbanized.</w:t>
      </w:r>
    </w:p>
    <w:p w:rsidR="002D463E" w:rsidRDefault="002D463E" w:rsidP="002D463E"/>
    <w:p w:rsidR="002D463E" w:rsidRDefault="002D463E" w:rsidP="003A1AFF">
      <w:r w:rsidRPr="00335666">
        <w:t>My philosophical interest in the North Atlantic right whale has to do primarily with what the lived whale body can teach us about a phenomenology of depth.</w:t>
      </w:r>
      <w:r>
        <w:t xml:space="preserve"> </w:t>
      </w:r>
      <w:r w:rsidRPr="00335666">
        <w:t xml:space="preserve">As those already familiar with phenomenological literature will likely be aware, Maurice Merleau-Ponty’s analysis of depth in </w:t>
      </w:r>
      <w:r w:rsidRPr="00335666">
        <w:rPr>
          <w:i/>
        </w:rPr>
        <w:t>The Phenomenology of Perception</w:t>
      </w:r>
      <w:r w:rsidRPr="00335666">
        <w:t xml:space="preserve"> constitutes a crucial moment in the formation of his ontology.</w:t>
      </w:r>
      <w:r>
        <w:t xml:space="preserve"> </w:t>
      </w:r>
      <w:r w:rsidRPr="00335666">
        <w:t>Most importantly, Merleau-Ponty’s articulation of depth as “the most ‘existential’ of all dimensions” (</w:t>
      </w:r>
      <w:r>
        <w:t>1945/</w:t>
      </w:r>
      <w:r w:rsidRPr="00335666">
        <w:t>1962</w:t>
      </w:r>
      <w:r>
        <w:t>:</w:t>
      </w:r>
      <w:r w:rsidRPr="00335666">
        <w:t xml:space="preserve"> 298) provides us with a way to conceptualize our involvement in the world without the Cartesian frames that separate subject from object, mind from body, and human from nature.</w:t>
      </w:r>
      <w:r>
        <w:t xml:space="preserve"> </w:t>
      </w:r>
      <w:r w:rsidRPr="00335666">
        <w:t xml:space="preserve">As such, Merleau-Ponty’s notion of depth is an apparent precursor to his famous description of “the flesh of the world” in his final work, </w:t>
      </w:r>
      <w:r w:rsidRPr="00335666">
        <w:rPr>
          <w:i/>
        </w:rPr>
        <w:t>The Visible and the Invisible</w:t>
      </w:r>
      <w:r w:rsidRPr="00335666">
        <w:t xml:space="preserve"> (1964/1968).</w:t>
      </w:r>
      <w:r>
        <w:t xml:space="preserve"> </w:t>
      </w:r>
      <w:r w:rsidRPr="00335666">
        <w:t>By thinking embodied whale experience together with Merleau-Ponty’s early discussion of depth, I hope to generate a description of that phenomenon that is richer than that which could be developed in the absence of this juxtaposition.</w:t>
      </w:r>
      <w:r>
        <w:t xml:space="preserve"> </w:t>
      </w:r>
      <w:r w:rsidRPr="00335666">
        <w:t>Focusing on the lived bodies of North Atlantic right whales can help to enhance our understanding of Merleau-Ponty’s claim that depth is a relational phenomenon of mutual envelopment that is tied to an organism’s practical orientation toward the world.</w:t>
      </w:r>
      <w:r>
        <w:t xml:space="preserve"> </w:t>
      </w:r>
      <w:r w:rsidRPr="00335666">
        <w:t>Centering the endangered bodies of North Atlantic right whales in our study of depth also encourages us to envision an environmentalist future that is grounded in our recognition of the sensuous cartography of human/nonhuman relations in which we are always already p</w:t>
      </w:r>
      <w:r w:rsidR="003A1AFF">
        <w:t>ositioned participants.</w:t>
      </w:r>
    </w:p>
    <w:p w:rsidR="002D463E" w:rsidRPr="00335666" w:rsidRDefault="002D463E" w:rsidP="002D463E"/>
    <w:p w:rsidR="002D463E" w:rsidRPr="00335666" w:rsidRDefault="002D463E" w:rsidP="003A1AFF">
      <w:pPr>
        <w:pStyle w:val="Heading3"/>
      </w:pPr>
      <w:r w:rsidRPr="00335666">
        <w:t>I. Depth as an “Existential Tide”</w:t>
      </w:r>
    </w:p>
    <w:p w:rsidR="002D463E" w:rsidRDefault="002D463E" w:rsidP="002D463E"/>
    <w:p w:rsidR="002D463E" w:rsidRPr="00335666" w:rsidRDefault="002D463E" w:rsidP="002D463E">
      <w:r w:rsidRPr="00335666">
        <w:t>When we begin to consider how depth is present in our everyday experience, we often conceive of depth as a corollary dimension to height and width.</w:t>
      </w:r>
      <w:r>
        <w:t xml:space="preserve"> </w:t>
      </w:r>
      <w:r w:rsidRPr="00335666">
        <w:t>According to this standard view, depth is both a way to measure one “side” of an object and a property of that object.</w:t>
      </w:r>
      <w:r>
        <w:t xml:space="preserve"> </w:t>
      </w:r>
      <w:r w:rsidRPr="00335666">
        <w:t>For example, a book seen straight on can appear flat and two-dimensional, but the same book seen from an angle has “depth”—a third way of extending in space, a thickness that stands out against flat surfaces.</w:t>
      </w:r>
      <w:r>
        <w:t xml:space="preserve"> </w:t>
      </w:r>
      <w:r w:rsidRPr="00335666">
        <w:t>In Bishop</w:t>
      </w:r>
      <w:r>
        <w:t xml:space="preserve"> George</w:t>
      </w:r>
      <w:r w:rsidRPr="00335666">
        <w:t xml:space="preserve"> Berkeley’s analysis, which parallels the standard view, depth is a series of points lined up end to end and seen straight on.</w:t>
      </w:r>
      <w:r>
        <w:t xml:space="preserve"> </w:t>
      </w:r>
      <w:r w:rsidRPr="00335666">
        <w:t>For this reason, Berkeley believes that depth is invisible; we see objects in the world but we never see depth unless we look at it from the side.</w:t>
      </w:r>
    </w:p>
    <w:p w:rsidR="002D463E" w:rsidRDefault="002D463E" w:rsidP="002D463E"/>
    <w:p w:rsidR="002D463E" w:rsidRPr="00335666" w:rsidRDefault="002D463E" w:rsidP="002D463E">
      <w:r w:rsidRPr="00335666">
        <w:t xml:space="preserve">In the “Space” chapter of the </w:t>
      </w:r>
      <w:r w:rsidRPr="00335666">
        <w:rPr>
          <w:i/>
        </w:rPr>
        <w:t>Phenomenology of Perception</w:t>
      </w:r>
      <w:r w:rsidRPr="00335666">
        <w:t>, Merleau-Ponty criticizes Berkeley’s conception of depth for failing to accommodate our actual experiences of depth and for falsely equating depth with “breadth seen from the side.”</w:t>
      </w:r>
      <w:r>
        <w:t xml:space="preserve"> </w:t>
      </w:r>
      <w:r w:rsidRPr="00335666">
        <w:t>In contrast to Berkeley’s approach, Merleau-Ponty aims to describe depth phenomenologically—not as the object of abstract thought and calculation, but as it is experienced by a lived body.</w:t>
      </w:r>
      <w:r>
        <w:t xml:space="preserve"> </w:t>
      </w:r>
      <w:r w:rsidRPr="00335666">
        <w:t>To this end, Merleau-Ponty writes that “whereas breadth can, at first sight, pass for a relationship between things themselves in which the perceiving sub</w:t>
      </w:r>
      <w:r>
        <w:t>ject is not implied” (1945/1962:</w:t>
      </w:r>
      <w:r w:rsidRPr="00335666">
        <w:t xml:space="preserve"> 298), depth “announces a certain indissoluble link between things and myself by which I am placed in front of them” (298).</w:t>
      </w:r>
      <w:r>
        <w:t xml:space="preserve"> </w:t>
      </w:r>
      <w:r w:rsidRPr="00335666">
        <w:t>Depth is thus a relational phenomenon that becomes visible whenever a body is put into contact with a world.</w:t>
      </w:r>
      <w:r>
        <w:t xml:space="preserve"> </w:t>
      </w:r>
      <w:r w:rsidRPr="00335666">
        <w:t>We do not participate in the dimension of depth only as observers and measurers, but our experiences of depth instead implicate our whole being and our inescapable involvement with the world.</w:t>
      </w:r>
      <w:r>
        <w:t xml:space="preserve"> </w:t>
      </w:r>
      <w:r w:rsidRPr="00335666">
        <w:t>Merleau-Ponty tells us that</w:t>
      </w:r>
    </w:p>
    <w:p w:rsidR="002D463E" w:rsidRDefault="002D463E" w:rsidP="002D463E">
      <w:pPr>
        <w:ind w:left="720"/>
      </w:pPr>
    </w:p>
    <w:p w:rsidR="002D463E" w:rsidRPr="00335666" w:rsidRDefault="002D463E" w:rsidP="002D463E">
      <w:pPr>
        <w:ind w:left="737" w:right="737"/>
      </w:pPr>
      <w:r w:rsidRPr="00335666">
        <w:t>More directly than the other dimensions of space, depth forces us to reject the preconceived notion of the world and rediscover the primordial experience from which it springs: it is, so to speak, the most ‘existential’ of all dimensions, because (and here Berkeley’s argument is right) it is not impressed upon the object itself, it quite clearly belongs to the perspective and not to things. (298)</w:t>
      </w:r>
    </w:p>
    <w:p w:rsidR="002D463E" w:rsidRPr="00335666" w:rsidRDefault="002D463E" w:rsidP="002D463E"/>
    <w:p w:rsidR="002D463E" w:rsidRPr="00335666" w:rsidRDefault="002D463E" w:rsidP="002D463E">
      <w:r w:rsidRPr="00335666">
        <w:t>Depth emerges in experience out of our concrete relationships with the world; it is not a property that inheres in the object and would stay the same regardless of who perceives that object.</w:t>
      </w:r>
      <w:r>
        <w:t xml:space="preserve"> </w:t>
      </w:r>
      <w:r w:rsidRPr="00335666">
        <w:t>When we encounter depth, we can no longer maintain that the world exists independent of my relations with it; insofar as my orientation toward the world changes, then so does my experience of depth.</w:t>
      </w:r>
    </w:p>
    <w:p w:rsidR="002D463E" w:rsidRDefault="002D463E" w:rsidP="002D463E"/>
    <w:p w:rsidR="002D463E" w:rsidRPr="00335666" w:rsidRDefault="002D463E" w:rsidP="002D463E">
      <w:r w:rsidRPr="00335666">
        <w:t>Merleau-Ponty explains that those self-world relationships that are contained within our experiences of depth are not those of mere juxtaposition (1945/</w:t>
      </w:r>
      <w:r>
        <w:t>1962:</w:t>
      </w:r>
      <w:r w:rsidRPr="00335666">
        <w:t xml:space="preserve"> 308).</w:t>
      </w:r>
      <w:r>
        <w:t xml:space="preserve"> </w:t>
      </w:r>
      <w:r w:rsidRPr="00335666">
        <w:t>Whereas breadth and height measure distances between two objects, depth “is the dimension in which things or elements of things envelop each other” (308).</w:t>
      </w:r>
      <w:r>
        <w:t xml:space="preserve"> </w:t>
      </w:r>
      <w:r w:rsidRPr="00335666">
        <w:t>The envelopment that Merleau-Ponty speaks of is one in which a person’s gaze “takes hold” of objects in the world and experiences their thickness, density, and size in relation to himself.</w:t>
      </w:r>
      <w:r>
        <w:t xml:space="preserve"> </w:t>
      </w:r>
      <w:r w:rsidRPr="00335666">
        <w:t>When I peer over the edge of the Grand Canyon, I am enveloped by the void below at the same time as my stare attempts to embrace the void.</w:t>
      </w:r>
      <w:r>
        <w:t xml:space="preserve"> </w:t>
      </w:r>
      <w:r w:rsidRPr="00335666">
        <w:t>For Merleau-Ponty, determinate experience emerges out of a person’s practical, existential orientation toward the world, an idea that is succinctly captured in his famous phrase that “consciousness is in the first place not a matter of ‘I think that,’ but of ‘I can’” (159).</w:t>
      </w:r>
      <w:r>
        <w:t xml:space="preserve"> </w:t>
      </w:r>
      <w:r w:rsidRPr="00335666">
        <w:t>An experience of depth is thus an awareness of how well we can hold an aspect of the world “in our grip.”</w:t>
      </w:r>
      <w:r>
        <w:t xml:space="preserve"> </w:t>
      </w:r>
      <w:r w:rsidRPr="00335666">
        <w:t>In Merleau-Ponty’s words,</w:t>
      </w:r>
    </w:p>
    <w:p w:rsidR="002D463E" w:rsidRDefault="002D463E" w:rsidP="002D463E"/>
    <w:p w:rsidR="002D463E" w:rsidRPr="00335666" w:rsidRDefault="002D463E" w:rsidP="002D463E">
      <w:pPr>
        <w:ind w:left="737" w:right="737"/>
      </w:pPr>
      <w:r w:rsidRPr="00335666">
        <w:t>When we say that an object is huge or tiny, nearby or far away, it is often without any comparison, even implicit, with any other object, or even with the size and objective position of our own body, but merely in relation to a certain ‘scope’ of our gestures, a certain ‘hold’ of the phenomenal body on its surroundings. (311)</w:t>
      </w:r>
    </w:p>
    <w:p w:rsidR="002D463E" w:rsidRPr="00335666" w:rsidRDefault="002D463E" w:rsidP="002D463E"/>
    <w:p w:rsidR="002D463E" w:rsidRPr="00335666" w:rsidRDefault="002D463E" w:rsidP="002D463E">
      <w:r w:rsidRPr="00335666">
        <w:t xml:space="preserve">Depth is our implicit recognition of our proximity and distance to that with which we </w:t>
      </w:r>
      <w:r>
        <w:t xml:space="preserve">are </w:t>
      </w:r>
      <w:r w:rsidRPr="00335666">
        <w:t>in relation; “depth immediately reveals the link between the subject and space” (311).</w:t>
      </w:r>
    </w:p>
    <w:p w:rsidR="002D463E" w:rsidRDefault="002D463E" w:rsidP="002D463E"/>
    <w:p w:rsidR="002D463E" w:rsidRPr="00335666" w:rsidRDefault="002D463E" w:rsidP="002D463E">
      <w:r w:rsidRPr="00335666">
        <w:t>Throughout his analysis, Merleau-Ponty encourages us to construe depth, not as a property of objects, but as that originary orientation that makes our experience of objects possible.</w:t>
      </w:r>
      <w:r>
        <w:t xml:space="preserve"> </w:t>
      </w:r>
      <w:r w:rsidRPr="00335666">
        <w:t xml:space="preserve">As such, depth is “primordial” in the sense that we experience depth before </w:t>
      </w:r>
      <w:r>
        <w:t xml:space="preserve">we </w:t>
      </w:r>
      <w:r w:rsidRPr="00335666">
        <w:t>perceive objects and distances such as height and breadth.</w:t>
      </w:r>
      <w:r>
        <w:t xml:space="preserve"> </w:t>
      </w:r>
      <w:r w:rsidRPr="00335666">
        <w:t xml:space="preserve">Primordial depth is “the thickness of a medium </w:t>
      </w:r>
      <w:r>
        <w:t>devoid of any thing” (1945/1962:</w:t>
      </w:r>
      <w:r w:rsidRPr="00335666">
        <w:t xml:space="preserve"> 310).</w:t>
      </w:r>
      <w:r>
        <w:t xml:space="preserve"> </w:t>
      </w:r>
      <w:r w:rsidRPr="00335666">
        <w:t>Our sense of depth is thus as acutely attuned to our emotional and existential possibilities as it is to our physiological and structural capacities:</w:t>
      </w:r>
    </w:p>
    <w:p w:rsidR="002D463E" w:rsidRDefault="002D463E" w:rsidP="002D463E"/>
    <w:p w:rsidR="002D463E" w:rsidRPr="00335666" w:rsidRDefault="002D463E" w:rsidP="002D463E">
      <w:pPr>
        <w:ind w:left="737" w:right="737"/>
      </w:pPr>
      <w:r w:rsidRPr="00335666">
        <w:t>The bird which hovers, falls, and becomes a handful of ash [in my dream], does not hover and fall in physical space; it rises and falls with the existential tide running through it, or again it is the pulse of my existence, its systole and diastole.</w:t>
      </w:r>
      <w:r>
        <w:t xml:space="preserve"> </w:t>
      </w:r>
      <w:r w:rsidRPr="00335666">
        <w:t>The level of this tide at each moment conditions a space peopled with phantasms, just as, in waking life, our dealings with the world which is offered to us condition a space peopled with realities.</w:t>
      </w:r>
      <w:r>
        <w:t xml:space="preserve"> </w:t>
      </w:r>
      <w:r w:rsidRPr="00335666">
        <w:t>There is a determining of up and down, and in general of place, which precedes ‘perception.’ (332)</w:t>
      </w:r>
    </w:p>
    <w:p w:rsidR="002D463E" w:rsidRPr="00335666" w:rsidRDefault="002D463E" w:rsidP="002D463E"/>
    <w:p w:rsidR="002D463E" w:rsidRPr="00335666" w:rsidRDefault="002D463E" w:rsidP="002D463E">
      <w:r w:rsidRPr="00335666">
        <w:t>In this passage, Merleau-Ponty suggests that we are always already oriented by our bodies and by the relationships that we create in virtue of being situated in a particular environment, even before we have perceived aspects of this environment as definitive objects and have articulated and measured the contours of them.</w:t>
      </w:r>
      <w:r>
        <w:t xml:space="preserve"> </w:t>
      </w:r>
      <w:r w:rsidRPr="00335666">
        <w:t>Depth is this “existential tide” that contracts and releases at regular intervals in proportion to our proximities and distances to various aspects of the world.</w:t>
      </w:r>
      <w:r>
        <w:t xml:space="preserve"> </w:t>
      </w:r>
      <w:r w:rsidRPr="00335666">
        <w:t>When we perceive depth, we are perceiving that sensuous cartography of dynamic relationships that is the mutual envelopment of self and world.</w:t>
      </w:r>
    </w:p>
    <w:p w:rsidR="002D463E" w:rsidRDefault="002D463E" w:rsidP="002D463E"/>
    <w:p w:rsidR="002D463E" w:rsidRPr="00335666" w:rsidRDefault="002D463E" w:rsidP="002D463E">
      <w:r w:rsidRPr="00335666">
        <w:t xml:space="preserve">Up until this point we have been speaking of depth only as a marker of one’s </w:t>
      </w:r>
      <w:r w:rsidRPr="00335666">
        <w:rPr>
          <w:i/>
        </w:rPr>
        <w:t>spatial</w:t>
      </w:r>
      <w:r w:rsidRPr="00335666">
        <w:t xml:space="preserve"> location, but we must remember that Merleau-Ponty also claims that experiencing depth necessarily involves a temporal dimension.</w:t>
      </w:r>
      <w:r>
        <w:t xml:space="preserve"> </w:t>
      </w:r>
      <w:r w:rsidRPr="00335666">
        <w:t>He writes, “perception provides me with a ‘field of presence’ in the broad sense, extending in two dimensions: the here-there dimension and the past-present-future dimension” (1945/</w:t>
      </w:r>
      <w:r>
        <w:t>1962:</w:t>
      </w:r>
      <w:r w:rsidRPr="00335666">
        <w:t xml:space="preserve"> 309).</w:t>
      </w:r>
      <w:r>
        <w:t xml:space="preserve"> </w:t>
      </w:r>
      <w:r w:rsidRPr="00335666">
        <w:t>Both of these temporal dimensions are experienced in terms of proximity and distance; some memories feel “far away” while others feel as if their contents are happening anew.</w:t>
      </w:r>
      <w:r>
        <w:t xml:space="preserve"> </w:t>
      </w:r>
      <w:r w:rsidRPr="00335666">
        <w:t>Like two beings moving in relation to one another, the passing of one instant to the next involves mutual envelopment, as the “thickness” of each temporal moment engulfs the thickness of the moment before (309).</w:t>
      </w:r>
      <w:r>
        <w:t xml:space="preserve"> </w:t>
      </w:r>
      <w:r w:rsidRPr="00335666">
        <w:t>According to this analysis, each experience of depth will be nested by its successor so that concrete relationships spread out in time as well as in space.</w:t>
      </w:r>
      <w:r>
        <w:t xml:space="preserve"> </w:t>
      </w:r>
      <w:r w:rsidRPr="00335666">
        <w:t>More accurately, Merleau-Ponty would say that spatial proximity is a function of temporal proximity.</w:t>
      </w:r>
      <w:r>
        <w:t xml:space="preserve"> </w:t>
      </w:r>
      <w:r w:rsidRPr="00335666">
        <w:t>He writes, “Things co-exist in space because they are present to the same perceiving subject and enveloped in one and the same temporal wave” (321).</w:t>
      </w:r>
    </w:p>
    <w:p w:rsidR="002D463E" w:rsidRDefault="002D463E" w:rsidP="002D463E"/>
    <w:p w:rsidR="002D463E" w:rsidRPr="00335666" w:rsidRDefault="002D463E" w:rsidP="002D463E">
      <w:r w:rsidRPr="00335666">
        <w:t>Although I agree with Merleau-Ponty’s critique of the standard view of depth and with his idea that our experiences of depth rest on the co-implication of self and world, I believe that his description could be further developed.</w:t>
      </w:r>
      <w:r>
        <w:t xml:space="preserve"> </w:t>
      </w:r>
      <w:r w:rsidRPr="00335666">
        <w:t>Despite the sound logic of Merleau-Ponty’s analysis, it is often difficult for us to immediately find the elements of depth that he ascribes to it in our everyday experiences.</w:t>
      </w:r>
      <w:r>
        <w:t xml:space="preserve"> </w:t>
      </w:r>
      <w:r w:rsidRPr="00335666">
        <w:t>Human experience is so replete with levels of abstraction and sedimentation that the task of returning to what Nietzsche called “the fiery liquid” of experience (1873/1979), that is, experience that has yet to be categorized and petrified into words an</w:t>
      </w:r>
      <w:r>
        <w:t>d</w:t>
      </w:r>
      <w:r w:rsidRPr="00335666">
        <w:t xml:space="preserve"> objects, can feel foreign and counter-intuitive.</w:t>
      </w:r>
      <w:r>
        <w:t xml:space="preserve"> </w:t>
      </w:r>
      <w:r w:rsidRPr="00335666">
        <w:t>For example, I experience the lamp on my desk as an object separate from me that has an existence independent of mine whose properties could be measured by me.</w:t>
      </w:r>
      <w:r>
        <w:t xml:space="preserve"> </w:t>
      </w:r>
      <w:r w:rsidRPr="00335666">
        <w:t>The lamp can be more or less in my reach, but I am not consciously aware of our mutual envelopment in any direct way, nor am I necessarily aware of my complete immersion in an irrevocably relational milieu.</w:t>
      </w:r>
      <w:r>
        <w:t xml:space="preserve"> </w:t>
      </w:r>
      <w:r w:rsidRPr="00335666">
        <w:t>Put differently, I must undertake significant amounts of philosophical reflection in order to see how it is that my practical orientation participates in my experiences of determinate objects and depth.</w:t>
      </w:r>
      <w:r>
        <w:t xml:space="preserve"> </w:t>
      </w:r>
      <w:r w:rsidRPr="00335666">
        <w:t>Merleau-Ponty does offer plausible explanations of how we come to experience this kind of objectivity in spite of the fundamental ambiguity, liquidity, and thickness of the world.</w:t>
      </w:r>
      <w:r w:rsidRPr="00335666">
        <w:rPr>
          <w:rStyle w:val="FootnoteReference"/>
        </w:rPr>
        <w:footnoteReference w:id="51"/>
      </w:r>
      <w:r>
        <w:t xml:space="preserve"> </w:t>
      </w:r>
      <w:r w:rsidRPr="00335666">
        <w:t>However, I am left to wonder whether there is a way to describe primordial depth so that its characteristics are grasped with more immediacy than they are in Merleau-Ponty’s discussion.</w:t>
      </w:r>
      <w:r>
        <w:t xml:space="preserve"> </w:t>
      </w:r>
      <w:r w:rsidRPr="00335666">
        <w:t>It is my contention that this enhancement to Merleau-Ponty’s theory presents itself when we shift the subject of his phenomenological analysis from a human body to a whale body, and specifically to an endangered whale body that is in precarious relationship with its environment.</w:t>
      </w:r>
    </w:p>
    <w:p w:rsidR="002D463E" w:rsidRPr="00335666" w:rsidRDefault="002D463E" w:rsidP="002D463E">
      <w:pPr>
        <w:rPr>
          <w:b/>
        </w:rPr>
      </w:pPr>
    </w:p>
    <w:p w:rsidR="002D463E" w:rsidRPr="00335666" w:rsidRDefault="002D463E" w:rsidP="003A1AFF">
      <w:pPr>
        <w:pStyle w:val="Heading3"/>
      </w:pPr>
      <w:r w:rsidRPr="00335666">
        <w:t>II. Sounding Depth</w:t>
      </w:r>
    </w:p>
    <w:p w:rsidR="002D463E" w:rsidRDefault="002D463E" w:rsidP="002D463E"/>
    <w:p w:rsidR="002D463E" w:rsidRPr="00335666" w:rsidRDefault="002D463E" w:rsidP="002D463E">
      <w:r w:rsidRPr="00335666">
        <w:t>Before attending to the ways that North Atlantic right whales experience depth, allow me to say a few words about how this move from human body to whale body, which at first glance appears to be a radical departure from the phenomenological method, could actually be consistent with Merleau-Ponty’s embodied phenomenology.</w:t>
      </w:r>
      <w:r>
        <w:t xml:space="preserve"> </w:t>
      </w:r>
      <w:r w:rsidRPr="00335666">
        <w:t xml:space="preserve">Merleau-Ponty’s predecessors, Franz Brentano and Edmund Husserl, focused their phenomenological studies on attributes such as intentionality, consciousness, and thought in </w:t>
      </w:r>
      <w:r>
        <w:t xml:space="preserve">the </w:t>
      </w:r>
      <w:r w:rsidRPr="00335666">
        <w:t>hopes of expanding our knowledge about the structures of the human mind.</w:t>
      </w:r>
      <w:r>
        <w:t xml:space="preserve"> </w:t>
      </w:r>
      <w:r w:rsidRPr="00335666">
        <w:t>Brentano’s interest in intentionality, for example, was largely due to his thesis that such directedness toward objects was “the mark of the mental”</w:t>
      </w:r>
      <w:r>
        <w:t xml:space="preserve"> (1873/1974:</w:t>
      </w:r>
      <w:r w:rsidRPr="00335666">
        <w:t xml:space="preserve"> 88).</w:t>
      </w:r>
      <w:r>
        <w:t xml:space="preserve"> </w:t>
      </w:r>
      <w:r w:rsidRPr="00335666">
        <w:t>Insofar as nonhuman animals were thought to lack these attributes, it made sense to look to human experience to generate rich phenomenological descriptions.</w:t>
      </w:r>
      <w:r>
        <w:t xml:space="preserve"> </w:t>
      </w:r>
      <w:r w:rsidRPr="00335666">
        <w:t>However, Merleau-Ponty’s insistence that mental phenomena are derivative of bodily experience and not the other way around provides an opening for undertaking phenomenologies of nonhuman animal bodies.</w:t>
      </w:r>
    </w:p>
    <w:p w:rsidR="002D463E" w:rsidRDefault="002D463E" w:rsidP="002D463E"/>
    <w:p w:rsidR="002D463E" w:rsidRPr="00335666" w:rsidRDefault="002D463E" w:rsidP="002D463E">
      <w:r w:rsidRPr="00335666">
        <w:t xml:space="preserve">Merleau-Ponty’s account of intersubjectivity in </w:t>
      </w:r>
      <w:r w:rsidRPr="00335666">
        <w:rPr>
          <w:i/>
        </w:rPr>
        <w:t>Phenomenology of Perception</w:t>
      </w:r>
      <w:r w:rsidRPr="00335666">
        <w:t xml:space="preserve"> is especially useful for theorizing the mutual suitability of humans and nonhuman animals for being the subjects of phenomenology.</w:t>
      </w:r>
      <w:r>
        <w:t xml:space="preserve"> </w:t>
      </w:r>
      <w:r w:rsidRPr="00335666">
        <w:t>Here, Merleau-Ponty does not equate subjectivity with having the capacity for reflective thought, language, or self-consciousness.</w:t>
      </w:r>
      <w:r>
        <w:t xml:space="preserve"> </w:t>
      </w:r>
      <w:r w:rsidRPr="00335666">
        <w:t>Instead, Merleau-Ponty believes that being a subject is coincident with being a body, as is evidenced by his repeated use of the phrase “body-subject” to describe beings that put their practical, operative intentions in contact with the world.</w:t>
      </w:r>
      <w:r>
        <w:t xml:space="preserve"> </w:t>
      </w:r>
      <w:r w:rsidRPr="00335666">
        <w:t>According to this view, “intersubjectivity,” or the shared experiences between two beings, is not a matter of having the same ideas, possessing the same capabilities, seeing the same things, or being simultaneously affected by the same stimuli in the same manner.</w:t>
      </w:r>
      <w:r>
        <w:t xml:space="preserve"> </w:t>
      </w:r>
      <w:r w:rsidRPr="00335666">
        <w:t xml:space="preserve">Instead, </w:t>
      </w:r>
      <w:r w:rsidRPr="00335666">
        <w:rPr>
          <w:i/>
        </w:rPr>
        <w:t>intersubjectivity is intercorporeality</w:t>
      </w:r>
      <w:r w:rsidRPr="00335666">
        <w:t xml:space="preserve">; it is about being in proximity and at a distance to another body that is not identical to my own, but is similar enough so that I </w:t>
      </w:r>
      <w:r w:rsidRPr="00335666">
        <w:rPr>
          <w:i/>
        </w:rPr>
        <w:t>pre-reflectively</w:t>
      </w:r>
      <w:r w:rsidRPr="00335666">
        <w:t xml:space="preserve"> recognize it as a body like my own.</w:t>
      </w:r>
      <w:r>
        <w:t xml:space="preserve"> </w:t>
      </w:r>
      <w:r w:rsidRPr="00335666">
        <w:t>As Merleau-Ponty writes,</w:t>
      </w:r>
    </w:p>
    <w:p w:rsidR="002D463E" w:rsidRDefault="002D463E" w:rsidP="002D463E">
      <w:pPr>
        <w:pStyle w:val="BodyTextIndent2"/>
        <w:spacing w:line="360" w:lineRule="auto"/>
        <w:jc w:val="both"/>
        <w:rPr>
          <w:szCs w:val="24"/>
        </w:rPr>
      </w:pPr>
    </w:p>
    <w:p w:rsidR="002D463E" w:rsidRPr="00335666" w:rsidRDefault="002D463E" w:rsidP="00A30E4F">
      <w:pPr>
        <w:pStyle w:val="BodyTextIndent2"/>
        <w:spacing w:line="360" w:lineRule="auto"/>
        <w:ind w:left="737" w:right="737"/>
        <w:jc w:val="both"/>
        <w:rPr>
          <w:szCs w:val="24"/>
        </w:rPr>
      </w:pPr>
      <w:r w:rsidRPr="00335666">
        <w:rPr>
          <w:szCs w:val="24"/>
        </w:rPr>
        <w:t>Just as my body, as the system of all my holds on the world, founds the unit of the objects which I perceive, in the same way the body of the other—as the bearer of symbolic behaviors and of the behavior of true reality—tears itself away from being one of my phenomena, offers me the task of a true communication, and confers on my objects the new dimension of intersubjective being or, in other wo</w:t>
      </w:r>
      <w:r>
        <w:rPr>
          <w:szCs w:val="24"/>
        </w:rPr>
        <w:t>rds, of objectivity. (1947/1964:</w:t>
      </w:r>
      <w:r w:rsidRPr="00335666">
        <w:rPr>
          <w:szCs w:val="24"/>
        </w:rPr>
        <w:t xml:space="preserve"> 18)</w:t>
      </w:r>
    </w:p>
    <w:p w:rsidR="002D463E" w:rsidRPr="00335666" w:rsidRDefault="002D463E" w:rsidP="00A30E4F">
      <w:pPr>
        <w:pStyle w:val="BodyTextIndent2"/>
        <w:spacing w:line="360" w:lineRule="auto"/>
        <w:jc w:val="both"/>
        <w:rPr>
          <w:szCs w:val="24"/>
        </w:rPr>
      </w:pPr>
    </w:p>
    <w:p w:rsidR="002D463E" w:rsidRPr="00335666" w:rsidRDefault="002D463E" w:rsidP="002D463E">
      <w:r w:rsidRPr="00335666">
        <w:t>Although Merleau-Ponty is explicitly referring to intersubjectivity between two human beings in this passage and although communicative speech figures centrally in their interaction, the ways that this analysis could be extended to include human-animal relations are clear.</w:t>
      </w:r>
      <w:r>
        <w:t xml:space="preserve"> </w:t>
      </w:r>
      <w:r w:rsidRPr="00335666">
        <w:t>The body of the right whale is the system of all of her holds on the world just as Merleau-Ponty’s body is the system of his.</w:t>
      </w:r>
      <w:r>
        <w:t xml:space="preserve"> </w:t>
      </w:r>
      <w:r w:rsidRPr="00335666">
        <w:t>However, since right whales do not have hands and fingers, we would do well replace the primate-centric language of “holding” and “grasping” with “sounding,” which is a word that is applicable to a wider variety of species and that evokes activities of diving, measuring, and investigating.</w:t>
      </w:r>
      <w:r>
        <w:t xml:space="preserve"> </w:t>
      </w:r>
      <w:r w:rsidRPr="00335666">
        <w:t xml:space="preserve">If it is the fact of having a system of relating to the world—a body—that allows for the possibility of intersubjectivity, then the right whale body-subject is potentially just as worthy of our phenomenological gaze as human-body subjects like Schneider, the war veteran with brain damage whom Merleau-Ponty returns to again and again in the </w:t>
      </w:r>
      <w:r w:rsidRPr="00335666">
        <w:rPr>
          <w:i/>
        </w:rPr>
        <w:t>Phenomenology of Perception</w:t>
      </w:r>
      <w:r w:rsidRPr="00335666">
        <w:t>.</w:t>
      </w:r>
      <w:r>
        <w:t xml:space="preserve"> </w:t>
      </w:r>
      <w:r w:rsidRPr="00335666">
        <w:t>Let us see if this suspicion gains credence as we position the right whale body at the center of our descriptions of depth.</w:t>
      </w:r>
    </w:p>
    <w:p w:rsidR="002D463E" w:rsidRDefault="002D463E" w:rsidP="002D463E"/>
    <w:p w:rsidR="002D463E" w:rsidRPr="00335666" w:rsidRDefault="002D463E" w:rsidP="002D463E">
      <w:r w:rsidRPr="00335666">
        <w:t>When we begin to think depth through the right whale body, we first notice that whereas humans most often navigate depth forward and backward through the horizontal movement of bipedal land experience, the right whale experiences another kind of depth in the verticality of the water column.</w:t>
      </w:r>
      <w:r>
        <w:t xml:space="preserve"> </w:t>
      </w:r>
      <w:r w:rsidRPr="00335666">
        <w:t>In one study of North Atlantic right whales in the Bay of Fundy, the median dive depth for right whales was calculated to be roughly 120 meters (394 feet) and the median dive duration was approximately twelve and a half minutes (Baumgartner and Mate</w:t>
      </w:r>
      <w:r>
        <w:t>, 2003:</w:t>
      </w:r>
      <w:r w:rsidRPr="00335666">
        <w:t xml:space="preserve"> 128).</w:t>
      </w:r>
      <w:r>
        <w:t xml:space="preserve"> </w:t>
      </w:r>
      <w:r w:rsidRPr="00335666">
        <w:t>The Bay of Fundy, a body of water between Maine and Nova Scotia where large numbers of right whales can often be found in the summer and fall, is one of the deepest known feeding habitats for right whales with maximum depths estimated to be about 213 meters or 700 feet.</w:t>
      </w:r>
      <w:r w:rsidRPr="00335666">
        <w:rPr>
          <w:rStyle w:val="FootnoteReference"/>
        </w:rPr>
        <w:footnoteReference w:id="52"/>
      </w:r>
      <w:r>
        <w:t xml:space="preserve"> </w:t>
      </w:r>
      <w:r w:rsidRPr="00335666">
        <w:t>Researchers in the Bay of Fundy and elsewhere report that right whales will frequently surface from a dive with their heads covered in mud from the bottom of the ocean (Kraus and Rolland</w:t>
      </w:r>
      <w:r>
        <w:t>, 2007:</w:t>
      </w:r>
      <w:r w:rsidRPr="00335666">
        <w:t xml:space="preserve"> 508), although there is much speculation as to what right whales are doing on the ocean floor since their food sources often aggregate several meters above those depths.</w:t>
      </w:r>
      <w:r>
        <w:t xml:space="preserve"> </w:t>
      </w:r>
      <w:r w:rsidRPr="00335666">
        <w:t>Right whale diving behavior is tracked using an instrument called a “time-depth recorder,” which is attached to the whale at the surface with a suction cup and then measures the various depths that the whale is frequenting over a period time, at the end of which the suction cup releases and the recorder floats to the surface for retrieval.</w:t>
      </w:r>
      <w:r w:rsidRPr="00335666">
        <w:rPr>
          <w:rStyle w:val="FootnoteReference"/>
        </w:rPr>
        <w:footnoteReference w:id="53"/>
      </w:r>
      <w:r>
        <w:t xml:space="preserve"> </w:t>
      </w:r>
      <w:r w:rsidRPr="00335666">
        <w:t>When time-depth recorders are attached to whales, they produce graphs that provide visual depictions of a whale’s diving behavior over periods of time.</w:t>
      </w:r>
      <w:r w:rsidRPr="00335666">
        <w:rPr>
          <w:rStyle w:val="FootnoteReference"/>
        </w:rPr>
        <w:footnoteReference w:id="54"/>
      </w:r>
      <w:r>
        <w:t xml:space="preserve"> </w:t>
      </w:r>
      <w:r w:rsidRPr="00335666">
        <w:t>Such graphs indicate that the rhythmic vertical movement from the surface of the water to great depths and back again is a characteristic feature of the right whale’s experience.</w:t>
      </w:r>
      <w:r>
        <w:t xml:space="preserve"> </w:t>
      </w:r>
      <w:r w:rsidRPr="00335666">
        <w:t>As mammals, right whales are tied to the surface because they must breathe at regular intervals.</w:t>
      </w:r>
      <w:r>
        <w:t xml:space="preserve"> </w:t>
      </w:r>
      <w:r w:rsidRPr="00335666">
        <w:t>And, as cetaceans with anatomical structures highly adapted to swimming and diving, right whales have the ability to explore the bottom of the ocean and all of the points in between.</w:t>
      </w:r>
    </w:p>
    <w:p w:rsidR="002D463E" w:rsidRDefault="002D463E" w:rsidP="002D463E"/>
    <w:p w:rsidR="002D463E" w:rsidRPr="00335666" w:rsidRDefault="002D463E" w:rsidP="002D463E">
      <w:r w:rsidRPr="00335666">
        <w:t>Experiencing depth within the water column, rather than on land, involves living through significant changes in atmospheric pressure.</w:t>
      </w:r>
      <w:r>
        <w:t xml:space="preserve"> </w:t>
      </w:r>
      <w:r w:rsidRPr="00335666">
        <w:t xml:space="preserve">At a </w:t>
      </w:r>
      <w:r>
        <w:t>depth of ten meters (32</w:t>
      </w:r>
      <w:r w:rsidRPr="00335666">
        <w:t xml:space="preserve"> feet) the ambient pressure is twice as great as it is on the surface.</w:t>
      </w:r>
      <w:r>
        <w:t xml:space="preserve"> </w:t>
      </w:r>
      <w:r w:rsidRPr="00335666">
        <w:t>Beyond ten meters below the surface, the ambient pressure doubles every time that the depth doubles (Nowacek et al.</w:t>
      </w:r>
      <w:r>
        <w:t>,</w:t>
      </w:r>
      <w:r w:rsidRPr="00335666">
        <w:t xml:space="preserve"> </w:t>
      </w:r>
      <w:r>
        <w:t>2001:</w:t>
      </w:r>
      <w:r w:rsidRPr="00335666">
        <w:t xml:space="preserve"> 1813).</w:t>
      </w:r>
      <w:r>
        <w:t xml:space="preserve"> </w:t>
      </w:r>
      <w:r w:rsidRPr="00335666">
        <w:t>At 120 meters down, the ambient pressure is roughly 176 pounds per square inch or twelve atmospheres.</w:t>
      </w:r>
      <w:r>
        <w:t xml:space="preserve"> </w:t>
      </w:r>
      <w:r w:rsidRPr="00335666">
        <w:t>This means that at this depth there would be more than 25,000 pounds bearing down on each square foot of the whale’s body.</w:t>
      </w:r>
      <w:r w:rsidRPr="00335666">
        <w:rPr>
          <w:rStyle w:val="FootnoteReference"/>
        </w:rPr>
        <w:footnoteReference w:id="55"/>
      </w:r>
      <w:r>
        <w:t xml:space="preserve"> </w:t>
      </w:r>
      <w:r w:rsidRPr="00335666">
        <w:t>The air in the whale’s lungs collapses to half its original size every time the ambient pressure doubles (Nowacek et al.</w:t>
      </w:r>
      <w:r>
        <w:t>,</w:t>
      </w:r>
      <w:r w:rsidRPr="00335666">
        <w:t xml:space="preserve"> </w:t>
      </w:r>
      <w:r>
        <w:t>2001:</w:t>
      </w:r>
      <w:r w:rsidRPr="00335666">
        <w:t xml:space="preserve"> 1813), indicating great pliability in the whale’s rib cage and lungs.</w:t>
      </w:r>
      <w:r>
        <w:t xml:space="preserve"> </w:t>
      </w:r>
      <w:r w:rsidRPr="00335666">
        <w:t>Rising to the surface after a dive, the right whale again experiences a considerable change in atmospheric pressure, whereupon the air in the whale’s lungs expands until it is exhaled through the blow hole when the whale surfaces.</w:t>
      </w:r>
      <w:r>
        <w:t xml:space="preserve"> </w:t>
      </w:r>
      <w:r w:rsidRPr="00335666">
        <w:t>In contrast to other large cetaceans like blue whales and fin whales, right whales are positively buoyant near the surface of the ocean partly due to their thick stores of blubber.</w:t>
      </w:r>
      <w:r>
        <w:t xml:space="preserve"> </w:t>
      </w:r>
      <w:r w:rsidRPr="00335666">
        <w:t>This means that right whales must expend more energy than other large whales to reach depth and they expend less energy than those whales coming to the surface (Nowacek et al.</w:t>
      </w:r>
      <w:r>
        <w:t>,</w:t>
      </w:r>
      <w:r w:rsidRPr="00335666">
        <w:t xml:space="preserve"> </w:t>
      </w:r>
      <w:r>
        <w:t>2001:</w:t>
      </w:r>
      <w:r w:rsidRPr="00335666">
        <w:t xml:space="preserve"> 1811).</w:t>
      </w:r>
      <w:r>
        <w:t xml:space="preserve"> </w:t>
      </w:r>
      <w:r w:rsidRPr="00335666">
        <w:t>The positive buoyancy of right whales likely makes them more susceptible to “the urban whale syndrome” because it may take them longer to dive to avoid ship-strikes and other urban activities that occur on the surface of the water (Nowacek et al.</w:t>
      </w:r>
      <w:r>
        <w:t>,</w:t>
      </w:r>
      <w:r w:rsidRPr="00335666">
        <w:t xml:space="preserve"> 2001).</w:t>
      </w:r>
    </w:p>
    <w:p w:rsidR="002D463E" w:rsidRDefault="002D463E" w:rsidP="002D463E"/>
    <w:p w:rsidR="002D463E" w:rsidRPr="00335666" w:rsidRDefault="002D463E" w:rsidP="002D463E">
      <w:r w:rsidRPr="00335666">
        <w:t>In general, the larger an animal is, the longer it should be able to dive because larger animals have greater oxygen stores and lower mass-specific metabolic rates than smaller animals (Croll et al.</w:t>
      </w:r>
      <w:r>
        <w:t>, 2001:</w:t>
      </w:r>
      <w:r w:rsidRPr="00335666">
        <w:t xml:space="preserve"> 798).</w:t>
      </w:r>
      <w:r>
        <w:t xml:space="preserve"> </w:t>
      </w:r>
      <w:r w:rsidRPr="00335666">
        <w:t>However, researchers have hypothesized that the unique feeding behavior of right whales allows them to stay at depth longer than even larger cetaceans, such as fin whales and blue whales, whose feeding habits expend more energy and require greater oxygen stores in the muscles.</w:t>
      </w:r>
      <w:r>
        <w:t xml:space="preserve"> </w:t>
      </w:r>
      <w:r w:rsidRPr="00335666">
        <w:t>As Mark F. Baumgartner, Charles A. Mayo, and Robert D. Kenney tell us, “right whales are carnivores that feed without manipulating their prey or their environment in any way.</w:t>
      </w:r>
      <w:r>
        <w:t xml:space="preserve"> </w:t>
      </w:r>
      <w:r w:rsidRPr="00335666">
        <w:t>Right whales simply open their mouths, swim forward, and feed on whatever happens to fall in.</w:t>
      </w:r>
      <w:r>
        <w:t xml:space="preserve"> </w:t>
      </w:r>
      <w:r w:rsidRPr="00335666">
        <w:t>They rely utterly on the environment to organize their prey into mouth-sized aggregations of millions to billions of organisms” (</w:t>
      </w:r>
      <w:r>
        <w:t>2007:</w:t>
      </w:r>
      <w:r w:rsidRPr="00335666">
        <w:t xml:space="preserve"> 140).</w:t>
      </w:r>
      <w:r>
        <w:t xml:space="preserve"> A species of zooplankton which</w:t>
      </w:r>
      <w:r w:rsidRPr="00335666">
        <w:t xml:space="preserve"> measure</w:t>
      </w:r>
      <w:r>
        <w:t>s</w:t>
      </w:r>
      <w:r w:rsidRPr="00335666">
        <w:t xml:space="preserve"> </w:t>
      </w:r>
      <w:r>
        <w:t xml:space="preserve">about </w:t>
      </w:r>
      <w:r w:rsidRPr="00335666">
        <w:t xml:space="preserve">two to three millimeters long and is called </w:t>
      </w:r>
      <w:r w:rsidRPr="00335666">
        <w:rPr>
          <w:i/>
        </w:rPr>
        <w:t>Calanus finmarchicus</w:t>
      </w:r>
      <w:r w:rsidRPr="00335666">
        <w:t xml:space="preserve"> is the primary prey of North Atlantic right whales.</w:t>
      </w:r>
      <w:r>
        <w:t xml:space="preserve"> </w:t>
      </w:r>
      <w:r w:rsidRPr="00335666">
        <w:t>An individual right whale must eat approximately one billion of these copepods per day to sustain its body weight (Baumgartner et al.</w:t>
      </w:r>
      <w:r>
        <w:t>,</w:t>
      </w:r>
      <w:r w:rsidRPr="00335666">
        <w:t xml:space="preserve"> </w:t>
      </w:r>
      <w:r>
        <w:t>2007:</w:t>
      </w:r>
      <w:r w:rsidRPr="00335666">
        <w:t xml:space="preserve"> 165).</w:t>
      </w:r>
      <w:r>
        <w:t xml:space="preserve"> </w:t>
      </w:r>
      <w:r w:rsidRPr="00335666">
        <w:t>Because right whales are filter feeders, rather than lunge feeders like blue whales, fin whales, and humpback whales, they must find places where ocean tides have amassed large quantities of their prey, who are generally weak swimmers and therefore unable to overcome strong currents.</w:t>
      </w:r>
      <w:r>
        <w:t xml:space="preserve"> </w:t>
      </w:r>
      <w:r w:rsidRPr="00335666">
        <w:t>Such high densities of organisms can be distributed anywhere in the vertical water column, not just near the surface.</w:t>
      </w:r>
      <w:r>
        <w:t xml:space="preserve"> </w:t>
      </w:r>
      <w:r w:rsidRPr="00335666">
        <w:t>Scientists are still unsure of how and why right whales are so skilled at finding these aggregations.</w:t>
      </w:r>
      <w:r>
        <w:t xml:space="preserve"> </w:t>
      </w:r>
      <w:r w:rsidRPr="00335666">
        <w:t xml:space="preserve">Baumgartner and Mate believe that right whales detect their prey without opening their mouths and without recourse to vision, both because of the lack of light at depth and because </w:t>
      </w:r>
      <w:r w:rsidRPr="00335666">
        <w:rPr>
          <w:i/>
        </w:rPr>
        <w:t>C. finmarchicus</w:t>
      </w:r>
      <w:r w:rsidRPr="00335666">
        <w:t xml:space="preserve"> do not bioluminesce as do some </w:t>
      </w:r>
      <w:r>
        <w:t>other species of copepods (2001:</w:t>
      </w:r>
      <w:r w:rsidRPr="00335666">
        <w:t xml:space="preserve"> 133).</w:t>
      </w:r>
      <w:r>
        <w:t xml:space="preserve"> </w:t>
      </w:r>
      <w:r w:rsidRPr="00335666">
        <w:t>Instead, right whales find their prey by relying on indications from the environment, such as experiencing changes in velocity, temperature, turbulence, or sa</w:t>
      </w:r>
      <w:r>
        <w:t>linity during their dives (2001:</w:t>
      </w:r>
      <w:r w:rsidRPr="00335666">
        <w:t xml:space="preserve"> 133).</w:t>
      </w:r>
    </w:p>
    <w:p w:rsidR="002D463E" w:rsidRDefault="002D463E" w:rsidP="002D463E"/>
    <w:p w:rsidR="002D463E" w:rsidRPr="00335666" w:rsidRDefault="002D463E" w:rsidP="002D463E">
      <w:r w:rsidRPr="00335666">
        <w:t>In addition to locating prey in their immediate vicinity, right whales are also capable of finding prey aggregations from up to thousands of kilometers away (Baumgartner et al</w:t>
      </w:r>
      <w:r>
        <w:t>, 2007:</w:t>
      </w:r>
      <w:r w:rsidRPr="00335666">
        <w:t xml:space="preserve"> 166).</w:t>
      </w:r>
      <w:r>
        <w:t xml:space="preserve"> </w:t>
      </w:r>
      <w:r w:rsidRPr="00335666">
        <w:t>Maternal teaching, memory, and instinct are possible explanations for this capacity.</w:t>
      </w:r>
      <w:r>
        <w:t xml:space="preserve"> </w:t>
      </w:r>
      <w:r w:rsidRPr="00335666">
        <w:t>Researchers have found that right whales display remarkable site fidelity to feeding grounds where their mothers brought them as calves (Frasier et al.</w:t>
      </w:r>
      <w:r>
        <w:t>, 2007:</w:t>
      </w:r>
      <w:r w:rsidRPr="00335666">
        <w:t xml:space="preserve"> 209).</w:t>
      </w:r>
      <w:r>
        <w:t xml:space="preserve"> </w:t>
      </w:r>
      <w:r w:rsidRPr="00335666">
        <w:t>If a mother-calf pair is sighted in the Bay of Fundy, it is highly likely that the calf will bring her offspring there when she reaches maturity.</w:t>
      </w:r>
      <w:r>
        <w:t xml:space="preserve"> </w:t>
      </w:r>
      <w:r w:rsidRPr="00335666">
        <w:t>An interesting twist on site fidelity is evidenced in the case of Porter (Eg #1133), a North Atlantic right whale who was sighted in the Norwegian bay of Lopphavet in 1999 (Kraus and Rolland</w:t>
      </w:r>
      <w:r>
        <w:t>, 2007:</w:t>
      </w:r>
      <w:r w:rsidRPr="00335666">
        <w:t xml:space="preserve"> 488-490).</w:t>
      </w:r>
      <w:r>
        <w:t xml:space="preserve"> </w:t>
      </w:r>
      <w:r w:rsidRPr="00335666">
        <w:t>Whaling records indicate that there were large numbers of right whales in Lopphavet in the 1600’s, but none had been seen there for hundreds of years until Porter showed up.</w:t>
      </w:r>
      <w:r>
        <w:t xml:space="preserve"> </w:t>
      </w:r>
      <w:r w:rsidRPr="00335666">
        <w:t>As Kraus and Rolland write, “It seems unbelievable that there is a cultural memory of Lopphavet that was passed on to [Porter], and yet, there he was, in a location where his ancestors over thirty generations ago went and were killed by our ancesto</w:t>
      </w:r>
      <w:r>
        <w:t>rs” (2007:</w:t>
      </w:r>
      <w:r w:rsidRPr="00335666">
        <w:t xml:space="preserve"> 489).</w:t>
      </w:r>
    </w:p>
    <w:p w:rsidR="002D463E" w:rsidRDefault="002D463E" w:rsidP="002D463E"/>
    <w:p w:rsidR="002D463E" w:rsidRPr="00335666" w:rsidRDefault="002D463E" w:rsidP="002D463E">
      <w:r w:rsidRPr="00335666">
        <w:t>Porter’s ability to find Lopphavet suggests that North Atlantic right whale bodies congeal memories of the ways that those bodies interact with their environment on multiple levels.</w:t>
      </w:r>
      <w:r>
        <w:t xml:space="preserve"> </w:t>
      </w:r>
      <w:r w:rsidRPr="00335666">
        <w:t>In contrast to the pristine bodies of their sister species, the Southern right whale, the bodies of North Atlantic rights whales are covered with scars and scrapes that are the residue of entanglements and propeller collisions in their urban environment.</w:t>
      </w:r>
      <w:r>
        <w:t xml:space="preserve"> </w:t>
      </w:r>
      <w:r w:rsidRPr="00335666">
        <w:t>The bodily memories that are implicated in a whale’s site fidelity and scars encourage us to consider depth’s temporal dimension in a way that is inextricably bound up with its spatial aspects.</w:t>
      </w:r>
      <w:r>
        <w:t xml:space="preserve"> </w:t>
      </w:r>
      <w:r w:rsidRPr="00335666">
        <w:t xml:space="preserve">A particularly poignant example of the temporal dimension </w:t>
      </w:r>
      <w:r>
        <w:t>that</w:t>
      </w:r>
      <w:r w:rsidRPr="00335666">
        <w:t xml:space="preserve"> right whale bodies entails </w:t>
      </w:r>
      <w:r>
        <w:t xml:space="preserve">is </w:t>
      </w:r>
      <w:r w:rsidRPr="00335666">
        <w:t>found in the story of a whale by the name of Eg #1045</w:t>
      </w:r>
      <w:r>
        <w:t>, whose story is</w:t>
      </w:r>
      <w:r w:rsidRPr="00335666">
        <w:t xml:space="preserve"> described in Kraus and Rolland’s </w:t>
      </w:r>
      <w:r w:rsidRPr="00335666">
        <w:rPr>
          <w:i/>
        </w:rPr>
        <w:t>The Urban Whale</w:t>
      </w:r>
      <w:r>
        <w:t xml:space="preserve"> (2007:</w:t>
      </w:r>
      <w:r w:rsidRPr="00335666">
        <w:t xml:space="preserve"> 1-3).</w:t>
      </w:r>
      <w:r>
        <w:t xml:space="preserve"> </w:t>
      </w:r>
      <w:r w:rsidRPr="00335666">
        <w:t>In March of 1935, Eg #1045 was feeding her newly born calf in right whale calving grounds off the coast of St. Augustine, Florida.</w:t>
      </w:r>
      <w:r>
        <w:t xml:space="preserve"> </w:t>
      </w:r>
      <w:r w:rsidRPr="00335666">
        <w:t>A group of men who were sportfishing for tuna spotted the mother-calf pair and decided to hunt the calf.</w:t>
      </w:r>
      <w:r>
        <w:t xml:space="preserve"> </w:t>
      </w:r>
      <w:r w:rsidRPr="00335666">
        <w:t>They harpooned the calf and shot at it with high powered rifles.</w:t>
      </w:r>
      <w:r>
        <w:t xml:space="preserve"> </w:t>
      </w:r>
      <w:r w:rsidRPr="00335666">
        <w:t>After six hours of pursuit, the calf finally died.</w:t>
      </w:r>
      <w:r>
        <w:t xml:space="preserve"> </w:t>
      </w:r>
      <w:r w:rsidRPr="00335666">
        <w:t>Eg #1045 would not leave her calf during this time and so the men shot more than 100 rounds of bullets into her flesh.</w:t>
      </w:r>
      <w:r>
        <w:t xml:space="preserve"> </w:t>
      </w:r>
      <w:r w:rsidRPr="00335666">
        <w:t>Only after her calf was dead did she flee the scene.</w:t>
      </w:r>
      <w:r>
        <w:t xml:space="preserve"> </w:t>
      </w:r>
      <w:r w:rsidRPr="00335666">
        <w:t xml:space="preserve">A </w:t>
      </w:r>
      <w:r w:rsidRPr="00335666">
        <w:rPr>
          <w:i/>
        </w:rPr>
        <w:t>New York Herald Tribune</w:t>
      </w:r>
      <w:r w:rsidRPr="00335666">
        <w:t xml:space="preserve"> reporter was present that day and documented the event in its entirety.</w:t>
      </w:r>
      <w:r>
        <w:t xml:space="preserve"> </w:t>
      </w:r>
      <w:r w:rsidRPr="00335666">
        <w:t>This was the last right whale “intentionally” killed in the United States.</w:t>
      </w:r>
      <w:r>
        <w:t xml:space="preserve"> </w:t>
      </w:r>
      <w:r w:rsidRPr="00335666">
        <w:t>Later in 1959, researchers at the Wood’s Hole Oceanagraphic Institute took photographs of a solitary right whale in Cape Cod Bay for a study that they were conducting.</w:t>
      </w:r>
      <w:r>
        <w:t xml:space="preserve"> </w:t>
      </w:r>
      <w:r w:rsidRPr="00335666">
        <w:t xml:space="preserve">By matching photographs in the </w:t>
      </w:r>
      <w:r w:rsidRPr="00335666">
        <w:rPr>
          <w:i/>
        </w:rPr>
        <w:t>Herald Tribune</w:t>
      </w:r>
      <w:r w:rsidRPr="00335666">
        <w:t xml:space="preserve"> with these photographs taken in 1959, scientist Amy Knowlton discovered that the whale seen in Cape Cod Bay was Eg #1045.</w:t>
      </w:r>
      <w:r>
        <w:t xml:space="preserve"> </w:t>
      </w:r>
      <w:r w:rsidRPr="00335666">
        <w:t>Eg #1045 was sighted again in 1980 in Cape Cod Bay and then a few more times after that off the coast of New England, but never with a calf, which indicates to researchers that her reproductive capabilities were damaged during the 1935 attack.</w:t>
      </w:r>
      <w:r>
        <w:t xml:space="preserve"> </w:t>
      </w:r>
      <w:r w:rsidRPr="00335666">
        <w:t>Eg #1045’s last sighting was in August of 1995 when she was seen with a massive propeller wound on one side of her head.</w:t>
      </w:r>
      <w:r>
        <w:t xml:space="preserve"> </w:t>
      </w:r>
      <w:r w:rsidRPr="00335666">
        <w:t>She has never been seen again.</w:t>
      </w:r>
      <w:r>
        <w:t xml:space="preserve"> </w:t>
      </w:r>
      <w:r w:rsidRPr="00335666">
        <w:t>Even though it is probable that right whales can live to more than a hundred years of age as do bowhead whales (Kraus and Rolland</w:t>
      </w:r>
      <w:r>
        <w:t>, 2007:</w:t>
      </w:r>
      <w:r w:rsidRPr="00335666">
        <w:t xml:space="preserve"> 22), this longevity is severely compromised by the facticity of urban whale life—a facticity that is inscribed and embedded in the bodies of these animals.</w:t>
      </w:r>
      <w:r>
        <w:t xml:space="preserve"> </w:t>
      </w:r>
      <w:r w:rsidRPr="00335666">
        <w:t>The way that the longevity and endangered nature of a right whale body holds time and place indicates that the whale’s own practical possibilities are bound up with their experience of depth.</w:t>
      </w:r>
    </w:p>
    <w:p w:rsidR="002D463E" w:rsidRPr="00335666" w:rsidRDefault="002D463E" w:rsidP="002D463E"/>
    <w:p w:rsidR="002D463E" w:rsidRPr="00335666" w:rsidRDefault="002D463E" w:rsidP="003A1AFF">
      <w:pPr>
        <w:pStyle w:val="Heading3"/>
      </w:pPr>
      <w:r w:rsidRPr="00335666">
        <w:t>III. A Comparative Phenomenology of Depth</w:t>
      </w:r>
    </w:p>
    <w:p w:rsidR="002D463E" w:rsidRDefault="002D463E" w:rsidP="002D463E"/>
    <w:p w:rsidR="002D463E" w:rsidRPr="00335666" w:rsidRDefault="002D463E" w:rsidP="002D463E">
      <w:r w:rsidRPr="00335666">
        <w:t>After having opened ourselves to thinking the ways that North Atlantic right whales experience depth, we are now in a position to ask how placing these nonhuman bodies at the center of our analysis furthers and enhances Merleau-Ponty’s theory of depth.</w:t>
      </w:r>
      <w:r>
        <w:t xml:space="preserve"> </w:t>
      </w:r>
      <w:r w:rsidRPr="00335666">
        <w:t>What do right whales teach us about depth that we may not have found had we only considered human bodies and experiences?</w:t>
      </w:r>
    </w:p>
    <w:p w:rsidR="002D463E" w:rsidRDefault="002D463E" w:rsidP="002D463E"/>
    <w:p w:rsidR="002D463E" w:rsidRPr="00335666" w:rsidRDefault="002D463E" w:rsidP="002D463E">
      <w:r w:rsidRPr="00335666">
        <w:t>In the first place, the right whale’s liquid habitat evokes an experience of depth that begins, quite literally, in the mutual envelopment of self and world.</w:t>
      </w:r>
      <w:r>
        <w:t xml:space="preserve"> </w:t>
      </w:r>
      <w:r w:rsidRPr="00335666">
        <w:t>The watery world surrounds the whale and presses down on her body and is the medium by which she relates to other beings.</w:t>
      </w:r>
      <w:r>
        <w:t xml:space="preserve"> </w:t>
      </w:r>
      <w:r w:rsidRPr="00335666">
        <w:t>The whale-subject is always already implicated in the experience of depth in this liquid milieu because the other beings and features present in the environment are known to her by changes in her own body.</w:t>
      </w:r>
      <w:r>
        <w:t xml:space="preserve"> </w:t>
      </w:r>
      <w:r w:rsidRPr="00335666">
        <w:t>The bodily movements of the whale likewise reverberate throughout the ocean and affect other beings therein even if they are not in close enough proximity for direct contact.</w:t>
      </w:r>
      <w:r>
        <w:t xml:space="preserve"> </w:t>
      </w:r>
      <w:r w:rsidRPr="00335666">
        <w:t>Humans who have ever been caught in a current or been close to marine animals while swimming will likely be able to relate to this phenomenon.</w:t>
      </w:r>
      <w:r>
        <w:t xml:space="preserve"> </w:t>
      </w:r>
      <w:r w:rsidRPr="00335666">
        <w:t>For example, when I was in college, I had the good fortune of swimming with a whale shark that was about nine meters in length off the coast of Western Australia.</w:t>
      </w:r>
      <w:r>
        <w:t xml:space="preserve"> </w:t>
      </w:r>
      <w:r w:rsidRPr="00335666">
        <w:t>Although I was at least twenty feet away from the whale shark in the water, I would get sucked in toward the animal and then pushed out somewhat violently every time that it moved its tail.</w:t>
      </w:r>
      <w:r>
        <w:t xml:space="preserve"> </w:t>
      </w:r>
      <w:r w:rsidRPr="00335666">
        <w:t>In my experience, the water played the role of a connective tissue, linking my experience of my own body to the movements of my enormous swimming companion even though we never touched.</w:t>
      </w:r>
      <w:r>
        <w:t xml:space="preserve"> </w:t>
      </w:r>
      <w:r w:rsidRPr="00335666">
        <w:t>Sounding depth alongside the right whale body thus beckons us to conceive of depth as a complete immersion in a thoroughly relational milieu in a way that Merleau-Ponty’s theory does not.</w:t>
      </w:r>
      <w:r>
        <w:t xml:space="preserve"> </w:t>
      </w:r>
      <w:r w:rsidRPr="00335666">
        <w:t>Without considerable analysis, it is difficult to picture the objects in my life as the other end of those intentional threads that emanate from my desires and orientations.</w:t>
      </w:r>
      <w:r>
        <w:t xml:space="preserve"> </w:t>
      </w:r>
      <w:r w:rsidRPr="00335666">
        <w:t>But the right whale’s relationality with the other aspects of her environment is immediately obvious.</w:t>
      </w:r>
    </w:p>
    <w:p w:rsidR="002D463E" w:rsidRDefault="002D463E" w:rsidP="002D463E"/>
    <w:p w:rsidR="002D463E" w:rsidRPr="00335666" w:rsidRDefault="002D463E" w:rsidP="002D463E">
      <w:r w:rsidRPr="00335666">
        <w:t>The different kind of involvement that the right whale has with his environment is emphasized by the inadequacy of the activities of vision and grasping to explicate a whale’s experience of depth.</w:t>
      </w:r>
      <w:r>
        <w:t xml:space="preserve"> </w:t>
      </w:r>
      <w:r w:rsidRPr="00335666">
        <w:t>According to Merleau-Ponty, the kind of relationship between self and world that depth indicates is one “by which I am placed in front of t</w:t>
      </w:r>
      <w:r>
        <w:t>hem” (1945/1962:</w:t>
      </w:r>
      <w:r w:rsidRPr="00335666">
        <w:t xml:space="preserve"> 298).</w:t>
      </w:r>
      <w:r>
        <w:t xml:space="preserve"> </w:t>
      </w:r>
      <w:r w:rsidRPr="00335666">
        <w:t>Thus construed, the self is implicated in our experiences of depth by our ability to see and capacity to grasp.</w:t>
      </w:r>
      <w:r>
        <w:t xml:space="preserve"> </w:t>
      </w:r>
      <w:r w:rsidRPr="00335666">
        <w:t xml:space="preserve">As Merleau-Ponty writes, “depth is born beneath my gaze because the latter tries to see </w:t>
      </w:r>
      <w:r w:rsidRPr="00335666">
        <w:rPr>
          <w:i/>
        </w:rPr>
        <w:t>something</w:t>
      </w:r>
      <w:r w:rsidRPr="00335666">
        <w:t>” (306, original emphasis).</w:t>
      </w:r>
      <w:r>
        <w:t xml:space="preserve"> </w:t>
      </w:r>
      <w:r w:rsidRPr="00335666">
        <w:t>He tells us further that the distance that we experience in depth is “the situation of the object in relation to our power of grasping it” (305).</w:t>
      </w:r>
      <w:r>
        <w:t xml:space="preserve"> </w:t>
      </w:r>
      <w:r w:rsidRPr="00335666">
        <w:t>The diving and foraging behaviors of right whales suggest that they navigate and come to know their environment, not so much through vision or lunging (a kind of taking “hold” of their prey), but by being attentive to subtle changes in their own relationships with their surroundings such as variations in swimming speed, pressure, and water temperature.</w:t>
      </w:r>
      <w:r>
        <w:t xml:space="preserve"> </w:t>
      </w:r>
      <w:r w:rsidRPr="00335666">
        <w:t>There is a sense in which the right whale knows where he is in the ocean because of how he feels there, whereas a human being is more likely to search out visual cues and landmarks to glean her location.</w:t>
      </w:r>
      <w:r w:rsidRPr="00335666">
        <w:rPr>
          <w:rStyle w:val="FootnoteReference"/>
        </w:rPr>
        <w:footnoteReference w:id="56"/>
      </w:r>
      <w:r>
        <w:t xml:space="preserve"> </w:t>
      </w:r>
      <w:r w:rsidRPr="00335666">
        <w:t>Merleau-Ponty’s reliance on vision and grasping to illuminate primordial depth exacerbates our tendencies to think depth in terms of the separation between self and world since both activities necessarily involve our being at a distance from what is at the end of our gaze or grasp.</w:t>
      </w:r>
      <w:r>
        <w:t xml:space="preserve"> </w:t>
      </w:r>
      <w:r w:rsidRPr="00335666">
        <w:t>In other words, Merleau-Ponty’s illustration of depth through vision and grasping emphasizes the ebbing of the existential tide—the separation of self and world—at the very moment when his theory is pointing to its flow, that is, to the mutual envelopment of self and world.</w:t>
      </w:r>
      <w:r>
        <w:t xml:space="preserve"> </w:t>
      </w:r>
      <w:r w:rsidRPr="00335666">
        <w:t>In Merleau-Ponty’s later work, the relationship between touching and the tangible begins to replace that of seeing and the visible as the primary example of a relational ontology for p</w:t>
      </w:r>
      <w:r>
        <w:t>recisely this reason (1964/1968:</w:t>
      </w:r>
      <w:r w:rsidRPr="00335666">
        <w:t xml:space="preserve"> 133).</w:t>
      </w:r>
    </w:p>
    <w:p w:rsidR="002D463E" w:rsidRDefault="002D463E" w:rsidP="002D463E"/>
    <w:p w:rsidR="002D463E" w:rsidRPr="00335666" w:rsidRDefault="002D463E" w:rsidP="002D463E">
      <w:r w:rsidRPr="00335666">
        <w:t>The mutual envelopment of the right whale and her or his environment helps us to better understand how experiencing the spatiality of depth is connected to the practical orientations of the body-subject.</w:t>
      </w:r>
      <w:r>
        <w:t xml:space="preserve"> </w:t>
      </w:r>
      <w:r w:rsidRPr="00335666">
        <w:t>Merleau-Ponty tells us that “[t]he perception of space is not a particular class of ‘states of consciousness’ or acts.</w:t>
      </w:r>
      <w:r>
        <w:t xml:space="preserve"> </w:t>
      </w:r>
      <w:r w:rsidRPr="00335666">
        <w:t>Its modalities are always an expression of the total life of the subject, the energy with which he tends towards a future through his body and his world” (</w:t>
      </w:r>
      <w:r>
        <w:t>1945/1962:</w:t>
      </w:r>
      <w:r w:rsidRPr="00335666">
        <w:t xml:space="preserve"> 330).</w:t>
      </w:r>
      <w:r>
        <w:t xml:space="preserve"> </w:t>
      </w:r>
      <w:r w:rsidRPr="00335666">
        <w:t>For the right whale, depth is not a measurement of distance from the surface of the ocean, but a felt awareness of the presence of food, other animals, safety, play, communication, and the lack of these things.</w:t>
      </w:r>
      <w:r>
        <w:t xml:space="preserve"> </w:t>
      </w:r>
      <w:r w:rsidRPr="00335666">
        <w:t>Thus understood, the changes in atmospheric pressure that right whales experience in their bodies during their dives are possibilities for familiar and different ways of being.</w:t>
      </w:r>
      <w:r>
        <w:t xml:space="preserve"> </w:t>
      </w:r>
      <w:r w:rsidRPr="00335666">
        <w:t>In a similar vein, humans experience pressure in relation to depth in the context of emotional encounters.</w:t>
      </w:r>
      <w:r>
        <w:t xml:space="preserve"> </w:t>
      </w:r>
      <w:r w:rsidRPr="00335666">
        <w:t>For example, depression is often experienced as a weight that is pressing down on one or as a kind of drowning—an inability to get to the surface.</w:t>
      </w:r>
      <w:r>
        <w:t xml:space="preserve"> </w:t>
      </w:r>
      <w:r w:rsidRPr="00335666">
        <w:t>By contrast, elation is often described as a “lightness of step” that enables freedom of movement.</w:t>
      </w:r>
      <w:r>
        <w:t xml:space="preserve"> </w:t>
      </w:r>
      <w:r w:rsidRPr="00335666">
        <w:t>Like the severely entangled right whale who cannot dive, the depressed person experiences spatiality as narrow, enclosed, and hindering.</w:t>
      </w:r>
      <w:r>
        <w:t xml:space="preserve"> </w:t>
      </w:r>
      <w:r w:rsidRPr="00335666">
        <w:t>In both cases, different depths and pressures designate varying practical possibilities.</w:t>
      </w:r>
      <w:r>
        <w:t xml:space="preserve"> </w:t>
      </w:r>
      <w:r w:rsidRPr="00335666">
        <w:t>Since it is difficult to imagine a whale treating depth as an objective measure, shifting our focus from human to whale bodies demands that we think de</w:t>
      </w:r>
      <w:r>
        <w:t>pth as “lived depth” (1945/1962:</w:t>
      </w:r>
      <w:r w:rsidRPr="00335666">
        <w:t xml:space="preserve"> 300), namely, something that belongs to the perspective itself and emerges out of a being’s practical possibilities in relation to her or his environment.</w:t>
      </w:r>
    </w:p>
    <w:p w:rsidR="002D463E" w:rsidRDefault="002D463E" w:rsidP="002D463E"/>
    <w:p w:rsidR="002D463E" w:rsidRDefault="002D463E" w:rsidP="002D463E">
      <w:r w:rsidRPr="00335666">
        <w:t>The bodies of North Atlantic right whales not only enhance our conception of depth in virtue of their ocean habitat and their unique physiological structures, but also due</w:t>
      </w:r>
      <w:r>
        <w:t xml:space="preserve"> to their status as endangered. </w:t>
      </w:r>
      <w:r w:rsidRPr="00335666">
        <w:t>The species’ small population size, slow and arduous reproductive capacities, lack of predators, and susceptibility to ship-strikes and entanglements highlights its tenuous relationship with the world more so than would our consider</w:t>
      </w:r>
      <w:r>
        <w:t xml:space="preserve">ation of non-endangered bodies. </w:t>
      </w:r>
      <w:r w:rsidRPr="00335666">
        <w:t>Moreover, that right whale bodies are endangered is immediately evident when you see their scars, propeller wounds, lesions, and markings from the trails of rope and fishing gear.</w:t>
      </w:r>
      <w:r>
        <w:t xml:space="preserve"> </w:t>
      </w:r>
      <w:r w:rsidRPr="00335666">
        <w:t>The palpable vulnerability of the right whale body spurs us to think</w:t>
      </w:r>
      <w:r>
        <w:t xml:space="preserve"> about</w:t>
      </w:r>
      <w:r w:rsidRPr="00335666">
        <w:t xml:space="preserve"> the self-world relation in more intimate terms and to visualize how bodies hold their temporal and spatial possibilities within them.</w:t>
      </w:r>
      <w:r>
        <w:t xml:space="preserve"> </w:t>
      </w:r>
      <w:r w:rsidRPr="00335666">
        <w:t>Right whales bodies quite literally manifest “the differentiations that produce and are produced by the materiality of the urban, that is, by urban flesh” (Weiss</w:t>
      </w:r>
      <w:r>
        <w:t>, 2006:</w:t>
      </w:r>
      <w:r w:rsidRPr="00335666">
        <w:t xml:space="preserve"> 149).</w:t>
      </w:r>
      <w:r>
        <w:t xml:space="preserve"> </w:t>
      </w:r>
      <w:r w:rsidRPr="00335666">
        <w:t>It is not unsurprising then that we gain an immediate sense of the relationality and temporality of depth when we engage their experience.</w:t>
      </w:r>
    </w:p>
    <w:p w:rsidR="002D463E" w:rsidRDefault="002D463E" w:rsidP="002D463E"/>
    <w:p w:rsidR="002D463E" w:rsidRPr="00335666" w:rsidRDefault="002D463E" w:rsidP="003A1AFF">
      <w:pPr>
        <w:pStyle w:val="Heading3"/>
      </w:pPr>
      <w:r w:rsidRPr="00335666">
        <w:t>IV. De-Centering the Human Subject</w:t>
      </w:r>
    </w:p>
    <w:p w:rsidR="002D463E" w:rsidRDefault="002D463E" w:rsidP="002D463E"/>
    <w:p w:rsidR="002D463E" w:rsidRPr="00335666" w:rsidRDefault="002D463E" w:rsidP="002D463E">
      <w:r w:rsidRPr="00335666">
        <w:t>It is not uncommon in the field of environmental philosophy to treat Merleau-Ponty’s phenomenology as an apt resource for rethinking human-nonhuman relationships.</w:t>
      </w:r>
      <w:r>
        <w:t xml:space="preserve"> </w:t>
      </w:r>
      <w:r w:rsidRPr="00335666">
        <w:t>In particular, philosophers such as David Abram, Monika Langer, and Ted Toadvine argue that Merleau-Ponty’s later notion of “reversible flesh” reveals an ontology where human and nonhuman, nature and culture, organism and environment are not separate from one another, but inextricably intertwined (Abram</w:t>
      </w:r>
      <w:r>
        <w:t>, 1988,</w:t>
      </w:r>
      <w:r w:rsidRPr="00335666">
        <w:t xml:space="preserve"> 1996; Langer</w:t>
      </w:r>
      <w:r>
        <w:t>,</w:t>
      </w:r>
      <w:r w:rsidRPr="00335666">
        <w:t xml:space="preserve"> 1990; Toadvine</w:t>
      </w:r>
      <w:r>
        <w:t>,</w:t>
      </w:r>
      <w:r w:rsidRPr="00335666">
        <w:t xml:space="preserve"> 2007).</w:t>
      </w:r>
      <w:r>
        <w:t xml:space="preserve"> </w:t>
      </w:r>
      <w:r w:rsidRPr="00335666">
        <w:t>In other words, these environmental philosophers believe that Merleau-Ponty’s ontology can show us how to relate to the more-than-human world without attitudes of domination and exploitation.</w:t>
      </w:r>
      <w:r w:rsidRPr="00335666">
        <w:rPr>
          <w:rStyle w:val="FootnoteReference"/>
        </w:rPr>
        <w:footnoteReference w:id="57"/>
      </w:r>
      <w:r>
        <w:t xml:space="preserve"> </w:t>
      </w:r>
      <w:r w:rsidRPr="00335666">
        <w:t>Although I am in wholehearted agreement with the idea that non-dualistic ontological presuppositions and environmentalism go hand in hand, the comparative phenomenology of depth that I present here juxtaposes Merleau-Ponty’s phenomenology with nonhuman experience from the opposite direction.</w:t>
      </w:r>
      <w:r>
        <w:t xml:space="preserve"> </w:t>
      </w:r>
      <w:r w:rsidRPr="00335666">
        <w:t>Rather than rely on Merleau-Ponty’s ontology to elucidate and articulate our relationships with the nonhuman, I rely on the North Atlantic right whale to explicate a notion that is crucial to the development of Merleau-Ponty’s ontology.</w:t>
      </w:r>
      <w:r>
        <w:t xml:space="preserve"> </w:t>
      </w:r>
      <w:r w:rsidRPr="00335666">
        <w:t>This reversal challenges many of our assumptions about what does and does not constitute a proper subject for phenomenology and the limits of phenomenological philosophy, more generally.</w:t>
      </w:r>
    </w:p>
    <w:p w:rsidR="002D463E" w:rsidRDefault="002D463E" w:rsidP="002D463E"/>
    <w:p w:rsidR="002D463E" w:rsidRPr="00335666" w:rsidRDefault="002D463E" w:rsidP="002D463E">
      <w:r w:rsidRPr="00335666">
        <w:t>The project of human/nonhuman comparative phenomenology is likely to elicit three primary objections.</w:t>
      </w:r>
      <w:r>
        <w:t xml:space="preserve"> </w:t>
      </w:r>
      <w:r w:rsidRPr="00335666">
        <w:t>First, insofar as phenomenology must necessarily begin in first-person experience, it seems that “comparative phenomenology” is a contradiction in terms.</w:t>
      </w:r>
      <w:r>
        <w:t xml:space="preserve"> </w:t>
      </w:r>
      <w:r w:rsidRPr="00335666">
        <w:t>According to this line of thinking, any attempt to engage the experience of nonhuman animals would entail a rejection or substantive revision of the phenomenological method.</w:t>
      </w:r>
      <w:r>
        <w:t xml:space="preserve"> </w:t>
      </w:r>
      <w:r w:rsidRPr="00335666">
        <w:t xml:space="preserve">Second, the lived experience of nonhuman animals is </w:t>
      </w:r>
      <w:r w:rsidRPr="00335666">
        <w:rPr>
          <w:i/>
        </w:rPr>
        <w:t>de facto</w:t>
      </w:r>
      <w:r w:rsidRPr="00335666">
        <w:t xml:space="preserve"> inaccessible to humans.</w:t>
      </w:r>
      <w:r>
        <w:t xml:space="preserve"> </w:t>
      </w:r>
      <w:r w:rsidRPr="00335666">
        <w:t>Endeavoring to think this lived experience therefore invites projection, second-hand observation, and ungrounded speculation.</w:t>
      </w:r>
      <w:r>
        <w:t xml:space="preserve"> </w:t>
      </w:r>
      <w:r w:rsidRPr="00335666">
        <w:t>Finally, since humans are philosophers, the practice of phenomenology necessarily implies a human subject.</w:t>
      </w:r>
      <w:r>
        <w:t xml:space="preserve"> </w:t>
      </w:r>
      <w:r w:rsidRPr="00335666">
        <w:t>As a result, even philosophical considerations of other species will be irretrievably self-referential, that is, entirely about humans after all.</w:t>
      </w:r>
      <w:r>
        <w:t xml:space="preserve"> </w:t>
      </w:r>
      <w:r w:rsidRPr="00335666">
        <w:t>Although a complete defense of human/nonhuman comparative phenomenology is beyond the scope of the present study, allow me to say a few words in the hopes of allaying and/or complicating these concerns.</w:t>
      </w:r>
    </w:p>
    <w:p w:rsidR="002D463E" w:rsidRDefault="002D463E" w:rsidP="002D463E"/>
    <w:p w:rsidR="002D463E" w:rsidRPr="00335666" w:rsidRDefault="002D463E" w:rsidP="002D463E">
      <w:r w:rsidRPr="00335666">
        <w:t>One reply to the objection that phenomenology must necessarily begin in first-person experience is that human/nonhuman comparative phenomenology is a useful technique for enhancing our awareness of our own first-person experiences.</w:t>
      </w:r>
      <w:r>
        <w:t xml:space="preserve"> </w:t>
      </w:r>
      <w:r w:rsidRPr="00335666">
        <w:t>In asking what depth is for the right whale, our own experience of depth comes into greater relief than it would have had we considered it in isolation through the process of identifying similarities and differences between human and nonhuman experiences.</w:t>
      </w:r>
      <w:r>
        <w:t xml:space="preserve"> </w:t>
      </w:r>
      <w:r w:rsidRPr="00335666">
        <w:t>Another response is that if phenomenological philosophy necessarily begins in first-person experience, then any phenomenology that considers experiences other than those of the philosopher himself is subject to the same criticisms as comparative phenomenology.</w:t>
      </w:r>
      <w:r>
        <w:t xml:space="preserve"> </w:t>
      </w:r>
      <w:r w:rsidRPr="00335666">
        <w:t>For example, on what grounds can we say that Merleau-Ponty has greater access to the experience of Schneider or the participants in Stratton’s inverted vision experiment than he could have of that of the right whale?</w:t>
      </w:r>
      <w:r>
        <w:t xml:space="preserve"> </w:t>
      </w:r>
      <w:r w:rsidRPr="00335666">
        <w:t>In both cases, the philosopher is gaining insight into the structures of experience using scientific data gathered through his own or another’s observation.</w:t>
      </w:r>
      <w:r w:rsidRPr="00335666">
        <w:rPr>
          <w:rStyle w:val="FootnoteReference"/>
        </w:rPr>
        <w:footnoteReference w:id="58"/>
      </w:r>
      <w:r>
        <w:t xml:space="preserve"> </w:t>
      </w:r>
      <w:r w:rsidRPr="00335666">
        <w:t>If we condone one but not the other then we are allowing speciesist interests to guide our inquiries without having good reason for doing so.</w:t>
      </w:r>
    </w:p>
    <w:p w:rsidR="002D463E" w:rsidRDefault="002D463E" w:rsidP="002D463E"/>
    <w:p w:rsidR="002D463E" w:rsidRPr="00335666" w:rsidRDefault="002D463E" w:rsidP="002D463E">
      <w:pPr>
        <w:rPr>
          <w:bCs/>
          <w:color w:val="000000"/>
        </w:rPr>
      </w:pPr>
      <w:r w:rsidRPr="00335666">
        <w:t>This observation leads to the questions of whether we can access the lived experiences of nonhuman animals at all and of whether we can access the lived experiences of other humans better than those of nonhuman animals.</w:t>
      </w:r>
      <w:r>
        <w:t xml:space="preserve"> </w:t>
      </w:r>
      <w:r w:rsidRPr="00335666">
        <w:t>W</w:t>
      </w:r>
      <w:r w:rsidRPr="00335666">
        <w:rPr>
          <w:bCs/>
          <w:color w:val="000000"/>
        </w:rPr>
        <w:t>hat is our basis for thinking that the bodies of all individuals in a species are more similar to each other than the bodies of individuals across species?</w:t>
      </w:r>
      <w:r>
        <w:rPr>
          <w:bCs/>
          <w:color w:val="000000"/>
        </w:rPr>
        <w:t xml:space="preserve"> </w:t>
      </w:r>
      <w:r w:rsidRPr="00335666">
        <w:rPr>
          <w:bCs/>
          <w:color w:val="000000"/>
        </w:rPr>
        <w:t>Moreover, what is our basis for believing that two humans are sufficiently similar to be able to access each other’s viewpoints?</w:t>
      </w:r>
      <w:r>
        <w:rPr>
          <w:bCs/>
          <w:color w:val="000000"/>
        </w:rPr>
        <w:t xml:space="preserve"> </w:t>
      </w:r>
      <w:r w:rsidRPr="00335666">
        <w:rPr>
          <w:bCs/>
          <w:color w:val="000000"/>
        </w:rPr>
        <w:t>The most obvious answer to these questions involves recourse to anatomical structure; those bodies that are judged by scientists and other humans to be anatomically alike are better able to access each other’s experiences than those that are not.</w:t>
      </w:r>
      <w:r>
        <w:rPr>
          <w:bCs/>
          <w:color w:val="000000"/>
        </w:rPr>
        <w:t xml:space="preserve"> </w:t>
      </w:r>
      <w:r w:rsidRPr="00335666">
        <w:rPr>
          <w:bCs/>
          <w:color w:val="000000"/>
        </w:rPr>
        <w:t>But, this answer begs the question of whether and how one gains access to another’s lived experience because it claims that insofar as objective bodies are similar then so are the phenomenal bodies to which they refer.</w:t>
      </w:r>
      <w:r>
        <w:rPr>
          <w:bCs/>
          <w:color w:val="000000"/>
        </w:rPr>
        <w:t xml:space="preserve"> </w:t>
      </w:r>
      <w:r w:rsidRPr="00335666">
        <w:rPr>
          <w:bCs/>
          <w:color w:val="000000"/>
        </w:rPr>
        <w:t>By pointing us to the lived body—the body as it is lived and experienced by the being whose body it is—Merleau-Ponty’s philosophy opens upon the possibility that lines of similarity and difference between beings may be more a function of the body schema, or of what is possible for two organisms, than anatomical structure.</w:t>
      </w:r>
      <w:r>
        <w:rPr>
          <w:bCs/>
          <w:color w:val="000000"/>
        </w:rPr>
        <w:t xml:space="preserve"> </w:t>
      </w:r>
      <w:r w:rsidRPr="00335666">
        <w:rPr>
          <w:bCs/>
          <w:color w:val="000000"/>
        </w:rPr>
        <w:t>If intersubjectivity is intercorporeality then we must at least admit of the possibility that I may have better access to my dog’s lived experience than to the experience of a human whom I have never met.</w:t>
      </w:r>
      <w:r>
        <w:rPr>
          <w:bCs/>
          <w:color w:val="000000"/>
        </w:rPr>
        <w:t xml:space="preserve"> </w:t>
      </w:r>
      <w:r w:rsidRPr="00335666">
        <w:rPr>
          <w:bCs/>
          <w:color w:val="000000"/>
        </w:rPr>
        <w:t>And, we must likewise admit of the possibility that the experiences of other humans (especially those from different cultures and social locations) may be just as inaccessible to me as the whale’s experience.</w:t>
      </w:r>
      <w:r>
        <w:rPr>
          <w:bCs/>
          <w:color w:val="000000"/>
        </w:rPr>
        <w:t xml:space="preserve"> </w:t>
      </w:r>
      <w:r w:rsidRPr="00335666">
        <w:rPr>
          <w:bCs/>
          <w:color w:val="000000"/>
        </w:rPr>
        <w:t>In a separate but related point, we should also note that our access to the meaning behind other’s reports of their experiences and our access to our own perspectives for that matter may not always be as unencumbered as we think they are.</w:t>
      </w:r>
    </w:p>
    <w:p w:rsidR="003A1AFF" w:rsidRDefault="003A1AFF" w:rsidP="002D463E">
      <w:pPr>
        <w:rPr>
          <w:bCs/>
          <w:color w:val="000000"/>
        </w:rPr>
      </w:pPr>
    </w:p>
    <w:p w:rsidR="002D463E" w:rsidRPr="00335666" w:rsidRDefault="002D463E" w:rsidP="002D463E">
      <w:pPr>
        <w:rPr>
          <w:bCs/>
          <w:color w:val="000000"/>
        </w:rPr>
      </w:pPr>
      <w:r w:rsidRPr="00335666">
        <w:rPr>
          <w:bCs/>
          <w:color w:val="000000"/>
        </w:rPr>
        <w:t>The third objection about the inescapably self-referential nature of phenomenology does not seem to ward against undertaking comparative phenomenological projects.</w:t>
      </w:r>
      <w:r>
        <w:rPr>
          <w:bCs/>
          <w:color w:val="000000"/>
        </w:rPr>
        <w:t xml:space="preserve"> </w:t>
      </w:r>
      <w:r w:rsidRPr="00335666">
        <w:rPr>
          <w:bCs/>
          <w:color w:val="000000"/>
        </w:rPr>
        <w:t>If we stopped ourselves from engaging in any inquiry that was potentially self-referential we would never create any philosophy at all.</w:t>
      </w:r>
      <w:r>
        <w:rPr>
          <w:bCs/>
          <w:color w:val="000000"/>
        </w:rPr>
        <w:t xml:space="preserve"> </w:t>
      </w:r>
      <w:r w:rsidRPr="00335666">
        <w:rPr>
          <w:bCs/>
          <w:color w:val="000000"/>
        </w:rPr>
        <w:t>What the specters of self-referentiality and anthropocentrism do seem to demand is a rigorous comparative methodology that is cognizant of the epistemological dangers of assimilating, exoticizing, and ignoring nonhuman subjects.</w:t>
      </w:r>
    </w:p>
    <w:p w:rsidR="002D463E" w:rsidRDefault="002D463E" w:rsidP="002D463E">
      <w:pPr>
        <w:rPr>
          <w:bCs/>
          <w:color w:val="000000"/>
        </w:rPr>
      </w:pPr>
    </w:p>
    <w:p w:rsidR="002D463E" w:rsidRDefault="002D463E" w:rsidP="002D463E">
      <w:r w:rsidRPr="00335666">
        <w:rPr>
          <w:bCs/>
          <w:color w:val="000000"/>
        </w:rPr>
        <w:t>The methodological considerations that are illuminated by human/nonhuman comparative projects give us pause to ask which bodies are the proper subjects of phenomenology and why.</w:t>
      </w:r>
      <w:r>
        <w:rPr>
          <w:bCs/>
          <w:color w:val="000000"/>
        </w:rPr>
        <w:t xml:space="preserve"> </w:t>
      </w:r>
      <w:r w:rsidRPr="00335666">
        <w:rPr>
          <w:bCs/>
          <w:color w:val="000000"/>
        </w:rPr>
        <w:t>The answer that lurks in the phenomenology of depth presented above is that we should not posit our subjects in advance of our inquiry according to general, assumptive rules about which kinds of experience can be accessed by the phenomenologist, but rather we should choose our subjects according to the content of our inquiry and make the justification of our choice central to our methodology.</w:t>
      </w:r>
      <w:r>
        <w:rPr>
          <w:bCs/>
          <w:color w:val="000000"/>
        </w:rPr>
        <w:t xml:space="preserve"> </w:t>
      </w:r>
      <w:r w:rsidRPr="00335666">
        <w:rPr>
          <w:bCs/>
          <w:color w:val="000000"/>
        </w:rPr>
        <w:t>Such a practice would not only provide an opening for us to reach beyond our anthropocentric experiences to that of other species, but also to consider kinds of human experience that have often been marginalized in the history of philosophy such as that of women, people of color, non-heterosexuals, and differently-abled people.</w:t>
      </w:r>
      <w:r>
        <w:rPr>
          <w:bCs/>
          <w:color w:val="000000"/>
        </w:rPr>
        <w:t xml:space="preserve"> </w:t>
      </w:r>
      <w:r w:rsidRPr="00335666">
        <w:rPr>
          <w:bCs/>
          <w:color w:val="000000"/>
        </w:rPr>
        <w:t>In this way, a rigorous phenomenology that does not make assumptions about the universality of experience may necessarily be a comparative phenomenology.</w:t>
      </w:r>
      <w:r>
        <w:rPr>
          <w:bCs/>
          <w:color w:val="000000"/>
        </w:rPr>
        <w:t xml:space="preserve"> </w:t>
      </w:r>
      <w:r w:rsidRPr="00335666">
        <w:t>Merleau-Ponty tells us that philosophy must “install itself…in experiences that have not yet been ‘worked over,’ that offer us all at once, pell-mell, both ‘subject’ and ‘object,’ both existence and essences, and hence give philosophy resou</w:t>
      </w:r>
      <w:r>
        <w:t>rces to define them” (1964/1968:</w:t>
      </w:r>
      <w:r w:rsidRPr="00335666">
        <w:t xml:space="preserve"> 130).</w:t>
      </w:r>
      <w:r>
        <w:t xml:space="preserve"> </w:t>
      </w:r>
      <w:r w:rsidRPr="00335666">
        <w:t>By de-centering ourselves from our inquiries thereby leaving our tendencies to categorize and solidify off-balance, we may be better able to explore the pell-mell, liquid ambiguity of experience.</w:t>
      </w:r>
      <w:r>
        <w:t xml:space="preserve"> </w:t>
      </w:r>
      <w:r w:rsidRPr="00335666">
        <w:t xml:space="preserve">In thinking depth through the nonhuman, endangered bodies of right whales, we may be better positioned to realize that “experience gives us access to being and should not be treated as a </w:t>
      </w:r>
      <w:r>
        <w:t>by-product of being” (1945/1962:</w:t>
      </w:r>
      <w:r w:rsidRPr="00335666">
        <w:t xml:space="preserve"> 301).</w:t>
      </w:r>
    </w:p>
    <w:p w:rsidR="003A1AFF" w:rsidRPr="00335666" w:rsidRDefault="003A1AFF" w:rsidP="002D463E"/>
    <w:p w:rsidR="002D463E" w:rsidRPr="00335666" w:rsidRDefault="002D463E" w:rsidP="002D463E"/>
    <w:p w:rsidR="002D463E" w:rsidRPr="00335666" w:rsidRDefault="002D463E" w:rsidP="003A1AFF">
      <w:pPr>
        <w:pStyle w:val="Heading3"/>
      </w:pPr>
      <w:r w:rsidRPr="00335666">
        <w:t>V. Endangered Bodies, Waves of Flesh</w:t>
      </w:r>
    </w:p>
    <w:p w:rsidR="002D463E" w:rsidRDefault="002D463E" w:rsidP="002D463E"/>
    <w:p w:rsidR="002D463E" w:rsidRPr="00335666" w:rsidRDefault="002D463E" w:rsidP="002D463E">
      <w:pPr>
        <w:rPr>
          <w:bCs/>
          <w:color w:val="000000"/>
        </w:rPr>
      </w:pPr>
      <w:r w:rsidRPr="00335666">
        <w:t>I would like to conclude with a brief allusion to Merleau-Ponty’s concept of reversible flesh in order to illustrate our precarious relationship with the North Atlantic right whale, both in terms of treating the whale as a subject for phenomenology and in terms of our co-habitation of this world.</w:t>
      </w:r>
      <w:r>
        <w:t xml:space="preserve"> </w:t>
      </w:r>
      <w:r w:rsidRPr="00335666">
        <w:t xml:space="preserve">In </w:t>
      </w:r>
      <w:r w:rsidRPr="00335666">
        <w:rPr>
          <w:i/>
        </w:rPr>
        <w:t>The Visible and the Invisible</w:t>
      </w:r>
      <w:r w:rsidRPr="00335666">
        <w:t>, Merleau-Ponty describes “flesh” not as a substance or a thing itself, but as a connective “tissue” that exists between things, nourishes and sustains them, and lines their insides and their outsides (1964/</w:t>
      </w:r>
      <w:r>
        <w:t>1968:</w:t>
      </w:r>
      <w:r w:rsidRPr="00335666">
        <w:t xml:space="preserve"> 132-33).</w:t>
      </w:r>
      <w:r>
        <w:t xml:space="preserve"> </w:t>
      </w:r>
      <w:r w:rsidRPr="00335666">
        <w:t>Flesh is a relationship, a “possibility,” and a “latency” (</w:t>
      </w:r>
      <w:r>
        <w:t>1964/1968:</w:t>
      </w:r>
      <w:r w:rsidRPr="00335666">
        <w:t xml:space="preserve"> 133); it is “the formative medium of the object and the subject” and an incarnation of a deeply relational “manner of being” (</w:t>
      </w:r>
      <w:r>
        <w:t>1964/1968:</w:t>
      </w:r>
      <w:r w:rsidRPr="00335666">
        <w:t xml:space="preserve"> 147).</w:t>
      </w:r>
      <w:r>
        <w:t xml:space="preserve"> </w:t>
      </w:r>
      <w:r w:rsidRPr="00335666">
        <w:t>Flesh is not only that which is coincident with individual bodies; flesh also inhabits the spaces between bodies and makes their experiencing of one another possible.</w:t>
      </w:r>
      <w:r>
        <w:t xml:space="preserve"> </w:t>
      </w:r>
      <w:r w:rsidRPr="00335666">
        <w:t>For Merleau-Ponty, reversible flesh is not Spinoza’s “Nature”—a grand unified substance that merely appears to be differentiated but is in actuality “one.”</w:t>
      </w:r>
      <w:r>
        <w:t xml:space="preserve"> </w:t>
      </w:r>
      <w:r w:rsidRPr="00335666">
        <w:t>In flesh the differentiation between two beings is real; it is given in the impossibility of one being transcending its body and inhabiting another, which is also the impossibility of experiencing flesh from the side that is other to the one we are on.</w:t>
      </w:r>
      <w:r>
        <w:t xml:space="preserve"> </w:t>
      </w:r>
      <w:r w:rsidRPr="00335666">
        <w:t>However, in Merleau-Ponty’s view, this real differentiation does not limit connections between beings, but rather constitutes the very ground from which their relations are possible.</w:t>
      </w:r>
    </w:p>
    <w:p w:rsidR="002D463E" w:rsidRDefault="002D463E" w:rsidP="002D463E"/>
    <w:p w:rsidR="002D463E" w:rsidRPr="00335666" w:rsidRDefault="002D463E" w:rsidP="002D463E">
      <w:r w:rsidRPr="00335666">
        <w:t xml:space="preserve">Current research on the decline of North Atlantic right whales estimates that if their reproductive and mortality rates continue as they are that this species will be extinct in </w:t>
      </w:r>
      <w:r>
        <w:t>fewer</w:t>
      </w:r>
      <w:r w:rsidRPr="00335666">
        <w:t xml:space="preserve"> than 200 years (Caswell et al.</w:t>
      </w:r>
      <w:r>
        <w:t>,</w:t>
      </w:r>
      <w:r w:rsidRPr="00335666">
        <w:t xml:space="preserve"> 1999; Fujiwara and Caswell</w:t>
      </w:r>
      <w:r>
        <w:t>,</w:t>
      </w:r>
      <w:r w:rsidRPr="00335666">
        <w:t xml:space="preserve"> 2001).</w:t>
      </w:r>
      <w:r>
        <w:t xml:space="preserve"> </w:t>
      </w:r>
      <w:r w:rsidRPr="00335666">
        <w:t>What will we lose, ontologically speaking, when the right whale’s style of being enfleshed no longer participates in the flesh of the world?</w:t>
      </w:r>
      <w:r>
        <w:t xml:space="preserve"> </w:t>
      </w:r>
      <w:r w:rsidRPr="00335666">
        <w:t>The possibility of extinction beckons the image of a stark future where there is nothing for the seer to see, the listener to hear, and the toucher to touch—where the nonhuman aspects of the flesh of the world have been thinned to oblivion and the human sides flounder in an opaque thickness of self-referential sensibility.</w:t>
      </w:r>
      <w:r>
        <w:t xml:space="preserve"> </w:t>
      </w:r>
      <w:r w:rsidRPr="00335666">
        <w:t>Although we cannot know a whale’s experience perspective in the sense of knowing what it is like to transcend our own bodies and perceive the world from a body of a different kind, we can know right whales because we are always already in relationship with them as shared inhabitants of the environment and the possibility that is the flesh of the world.</w:t>
      </w:r>
      <w:r>
        <w:t xml:space="preserve"> </w:t>
      </w:r>
      <w:r w:rsidRPr="00335666">
        <w:t>Just as the right whale detects her prey by experiencing changes in her own swimming speed and temperature, we can find the experience of the right whale within and in excess of our own bodily experience.</w:t>
      </w:r>
      <w:r>
        <w:t xml:space="preserve"> </w:t>
      </w:r>
      <w:r w:rsidRPr="00335666">
        <w:t>Only in affirming the depth of our relationships with other beings and our dynamic position in the swelling and receding existential tide that is the world’s flesh, will we be able to envision a different future where the continued existence of the North Atlantic right whales is a consciously desired reality.</w:t>
      </w:r>
    </w:p>
    <w:p w:rsidR="002D463E" w:rsidRDefault="002D463E" w:rsidP="002D463E">
      <w:pPr>
        <w:rPr>
          <w:bCs/>
          <w:color w:val="000000"/>
        </w:rPr>
      </w:pPr>
    </w:p>
    <w:p w:rsidR="002D463E" w:rsidRPr="00335666" w:rsidRDefault="002D463E" w:rsidP="002D463E">
      <w:pPr>
        <w:rPr>
          <w:bCs/>
          <w:color w:val="000000"/>
        </w:rPr>
      </w:pPr>
      <w:r w:rsidRPr="00335666">
        <w:rPr>
          <w:bCs/>
          <w:color w:val="000000"/>
        </w:rPr>
        <w:t>Attending to the bodies of North Atlantic right whales calls us from our sedimented styles of being to the fluidity of existence.</w:t>
      </w:r>
      <w:r>
        <w:rPr>
          <w:bCs/>
          <w:color w:val="000000"/>
        </w:rPr>
        <w:t xml:space="preserve"> </w:t>
      </w:r>
      <w:r w:rsidRPr="00335666">
        <w:rPr>
          <w:bCs/>
          <w:color w:val="000000"/>
        </w:rPr>
        <w:t>The North Atlantic right whale enhances Merleau-Ponty’s analysis of depth by emphasizing the relational aspects of existence that are often latent in human experience: the subject’s immersion in a relational medium, the way depth is organism/environment relationships, and depth’s temporal dimension.</w:t>
      </w:r>
      <w:r>
        <w:rPr>
          <w:bCs/>
          <w:color w:val="000000"/>
        </w:rPr>
        <w:t xml:space="preserve"> </w:t>
      </w:r>
      <w:r w:rsidRPr="00335666">
        <w:rPr>
          <w:bCs/>
          <w:color w:val="000000"/>
        </w:rPr>
        <w:t xml:space="preserve">Most importantly, the fact that right whale bodies are endangered—and specifically that they are endangered </w:t>
      </w:r>
      <w:r w:rsidRPr="00335666">
        <w:rPr>
          <w:bCs/>
          <w:i/>
          <w:color w:val="000000"/>
        </w:rPr>
        <w:t>by us</w:t>
      </w:r>
      <w:r w:rsidRPr="00335666">
        <w:rPr>
          <w:bCs/>
          <w:color w:val="000000"/>
        </w:rPr>
        <w:t>—brings into stark relief the relational nature of all of our existences.</w:t>
      </w:r>
      <w:r>
        <w:rPr>
          <w:bCs/>
          <w:color w:val="000000"/>
        </w:rPr>
        <w:t xml:space="preserve"> </w:t>
      </w:r>
      <w:r w:rsidRPr="00335666">
        <w:rPr>
          <w:bCs/>
          <w:color w:val="000000"/>
        </w:rPr>
        <w:t>By heightening the visibility of these endangered bodies, this human/nonhuman comparative phenomenology asks us to change our anthropocentric orientations so that North Atlantic right whales will continue to sound the depths of the world’s existential tide long into the future.</w:t>
      </w:r>
    </w:p>
    <w:p w:rsidR="002D463E" w:rsidRPr="00335666" w:rsidRDefault="002D463E" w:rsidP="002D463E"/>
    <w:p w:rsidR="0036482E" w:rsidRDefault="0036482E" w:rsidP="003A1AFF">
      <w:pPr>
        <w:pStyle w:val="Heading3"/>
      </w:pPr>
    </w:p>
    <w:p w:rsidR="002D463E" w:rsidRPr="00335666" w:rsidRDefault="002D463E" w:rsidP="003A1AFF">
      <w:pPr>
        <w:pStyle w:val="Heading3"/>
      </w:pPr>
      <w:r>
        <w:t>References</w:t>
      </w:r>
    </w:p>
    <w:p w:rsidR="002D463E" w:rsidRPr="00335666" w:rsidRDefault="002D463E" w:rsidP="002D463E">
      <w:pPr>
        <w:rPr>
          <w:b/>
        </w:rPr>
      </w:pPr>
    </w:p>
    <w:p w:rsidR="002D463E" w:rsidRDefault="002D463E" w:rsidP="003A1AFF">
      <w:pPr>
        <w:pStyle w:val="References"/>
      </w:pPr>
      <w:r>
        <w:t>Abram, D.</w:t>
      </w:r>
      <w:r w:rsidRPr="00335666">
        <w:t xml:space="preserve"> (1988), “Merleau-Ponty and the Voice of the Earth”, </w:t>
      </w:r>
      <w:r w:rsidRPr="00335666">
        <w:rPr>
          <w:i/>
        </w:rPr>
        <w:t>Environmental Ethics</w:t>
      </w:r>
      <w:r>
        <w:t>,10,</w:t>
      </w:r>
      <w:r w:rsidRPr="00335666">
        <w:t xml:space="preserve"> </w:t>
      </w:r>
      <w:r>
        <w:t xml:space="preserve">pp. </w:t>
      </w:r>
      <w:r w:rsidRPr="00335666">
        <w:t>101-120.</w:t>
      </w:r>
    </w:p>
    <w:p w:rsidR="003A1AFF" w:rsidRPr="00335666" w:rsidRDefault="003A1AFF" w:rsidP="003A1AFF">
      <w:pPr>
        <w:pStyle w:val="References"/>
      </w:pPr>
    </w:p>
    <w:p w:rsidR="002D463E" w:rsidRPr="003A1AFF" w:rsidRDefault="002D463E" w:rsidP="003A1AFF">
      <w:pPr>
        <w:pStyle w:val="References"/>
        <w:rPr>
          <w:i/>
        </w:rPr>
      </w:pPr>
      <w:r>
        <w:t>----.</w:t>
      </w:r>
      <w:r w:rsidRPr="00335666">
        <w:t xml:space="preserve"> (1996), </w:t>
      </w:r>
      <w:r w:rsidRPr="00335666">
        <w:rPr>
          <w:i/>
        </w:rPr>
        <w:t>The Spell of the Sensuous: Percept</w:t>
      </w:r>
      <w:r w:rsidR="003A1AFF">
        <w:rPr>
          <w:i/>
        </w:rPr>
        <w:t>ion and Language in a More-than</w:t>
      </w:r>
      <w:r w:rsidRPr="00335666">
        <w:rPr>
          <w:i/>
        </w:rPr>
        <w:t>-Human World</w:t>
      </w:r>
      <w:r>
        <w:t>, Vintage,</w:t>
      </w:r>
      <w:r w:rsidRPr="00335666">
        <w:t xml:space="preserve"> New York.</w:t>
      </w:r>
    </w:p>
    <w:p w:rsidR="003A1AFF" w:rsidRPr="00335666" w:rsidRDefault="003A1AFF" w:rsidP="003A1AFF">
      <w:pPr>
        <w:pStyle w:val="References"/>
      </w:pPr>
    </w:p>
    <w:p w:rsidR="002D463E" w:rsidRDefault="002D463E" w:rsidP="003A1AFF">
      <w:pPr>
        <w:pStyle w:val="References"/>
      </w:pPr>
      <w:r>
        <w:t xml:space="preserve">----. </w:t>
      </w:r>
      <w:r w:rsidRPr="00335666">
        <w:t xml:space="preserve">(2010), </w:t>
      </w:r>
      <w:r w:rsidRPr="00335666">
        <w:rPr>
          <w:i/>
        </w:rPr>
        <w:t>Becoming Animal: An Earthly Cosmology</w:t>
      </w:r>
      <w:r>
        <w:t>, Pantheon Books,</w:t>
      </w:r>
      <w:r w:rsidR="003A1AFF">
        <w:t xml:space="preserve"> New York.</w:t>
      </w:r>
      <w:r w:rsidRPr="00335666">
        <w:t>Acevedo-Gutiérrez, A., D. Croll</w:t>
      </w:r>
      <w:r>
        <w:t>,</w:t>
      </w:r>
      <w:r w:rsidRPr="00335666">
        <w:t xml:space="preserve"> A. and Tershy</w:t>
      </w:r>
      <w:r>
        <w:t>,</w:t>
      </w:r>
      <w:r w:rsidRPr="00335666">
        <w:t xml:space="preserve"> B. R. (2002), “High Feeding Costs Limit</w:t>
      </w:r>
      <w:r w:rsidR="003A1AFF">
        <w:t xml:space="preserve"> </w:t>
      </w:r>
      <w:r w:rsidRPr="00335666">
        <w:t>Dive Time in the Largest Whales”</w:t>
      </w:r>
      <w:r>
        <w:t>,</w:t>
      </w:r>
      <w:r w:rsidRPr="00335666">
        <w:t xml:space="preserve"> </w:t>
      </w:r>
      <w:r w:rsidRPr="00335666">
        <w:rPr>
          <w:i/>
        </w:rPr>
        <w:t>The Journal of Experimental Biology</w:t>
      </w:r>
      <w:r>
        <w:t xml:space="preserve">, 205,pp. </w:t>
      </w:r>
      <w:r w:rsidRPr="00335666">
        <w:t>1747-1753.</w:t>
      </w:r>
    </w:p>
    <w:p w:rsidR="003A1AFF" w:rsidRPr="00335666" w:rsidRDefault="003A1AFF" w:rsidP="003A1AFF">
      <w:pPr>
        <w:pStyle w:val="References"/>
      </w:pPr>
    </w:p>
    <w:p w:rsidR="002D463E" w:rsidRDefault="002D463E" w:rsidP="003A1AFF">
      <w:pPr>
        <w:pStyle w:val="References"/>
      </w:pPr>
      <w:r w:rsidRPr="00335666">
        <w:t>Baumgartner, M. F. and Mate</w:t>
      </w:r>
      <w:r>
        <w:t>,</w:t>
      </w:r>
      <w:r w:rsidRPr="00335666">
        <w:t xml:space="preserve"> B. R. (2003), “Summe</w:t>
      </w:r>
      <w:r w:rsidR="003A1AFF">
        <w:t xml:space="preserve">rtime Foraging Ecology of North </w:t>
      </w:r>
      <w:r w:rsidRPr="00335666">
        <w:t>Atlantic Right Whales”</w:t>
      </w:r>
      <w:r>
        <w:t>,</w:t>
      </w:r>
      <w:r w:rsidRPr="00335666">
        <w:t xml:space="preserve"> </w:t>
      </w:r>
      <w:r w:rsidRPr="00335666">
        <w:rPr>
          <w:i/>
        </w:rPr>
        <w:t>Marine Ecology Progress Series</w:t>
      </w:r>
      <w:r>
        <w:t>, 264,</w:t>
      </w:r>
      <w:r w:rsidRPr="00335666">
        <w:t xml:space="preserve"> </w:t>
      </w:r>
      <w:r>
        <w:t xml:space="preserve">pp. </w:t>
      </w:r>
      <w:r w:rsidRPr="00335666">
        <w:t>123-135.</w:t>
      </w:r>
    </w:p>
    <w:p w:rsidR="003A1AFF" w:rsidRPr="00335666" w:rsidRDefault="003A1AFF" w:rsidP="003A1AFF">
      <w:pPr>
        <w:pStyle w:val="References"/>
      </w:pPr>
    </w:p>
    <w:p w:rsidR="002D463E" w:rsidRPr="00335666" w:rsidRDefault="002D463E" w:rsidP="003A1AFF">
      <w:pPr>
        <w:pStyle w:val="References"/>
      </w:pPr>
      <w:r w:rsidRPr="00335666">
        <w:t>Baumgartner, M. F., Mayo, C. A. and Kenney R. D</w:t>
      </w:r>
      <w:r w:rsidR="003A1AFF">
        <w:t>. (2007), “Enormous Carnivores,</w:t>
      </w:r>
      <w:r w:rsidRPr="00335666">
        <w:t>Microscopic Food, and a Restaurant That’s Har</w:t>
      </w:r>
      <w:r w:rsidR="003A1AFF">
        <w:t xml:space="preserve">d to Find”, in Kraus, S. D. and </w:t>
      </w:r>
      <w:r>
        <w:t>Rolland, R. M. (Eds)</w:t>
      </w:r>
      <w:r w:rsidRPr="00335666">
        <w:t xml:space="preserve"> </w:t>
      </w:r>
      <w:r w:rsidRPr="00335666">
        <w:rPr>
          <w:i/>
        </w:rPr>
        <w:t>The Urban Whale: North Atlantic Right Whales at the</w:t>
      </w:r>
      <w:r w:rsidR="003A1AFF">
        <w:t xml:space="preserve"> </w:t>
      </w:r>
      <w:r w:rsidRPr="00335666">
        <w:rPr>
          <w:i/>
        </w:rPr>
        <w:t>Crossroads</w:t>
      </w:r>
      <w:r w:rsidRPr="00335666">
        <w:t>, Harvard University Press, Cambridge, MA, pp. 138-171.</w:t>
      </w:r>
    </w:p>
    <w:p w:rsidR="003A1AFF" w:rsidRDefault="003A1AFF" w:rsidP="003A1AFF">
      <w:pPr>
        <w:pStyle w:val="References"/>
      </w:pPr>
    </w:p>
    <w:p w:rsidR="002D463E" w:rsidRPr="00335666" w:rsidRDefault="002D463E" w:rsidP="003A1AFF">
      <w:pPr>
        <w:pStyle w:val="References"/>
      </w:pPr>
      <w:r>
        <w:t>Brentano, F.</w:t>
      </w:r>
      <w:r w:rsidRPr="00335666">
        <w:t xml:space="preserve"> (1874/1973), </w:t>
      </w:r>
      <w:r w:rsidRPr="00335666">
        <w:rPr>
          <w:i/>
        </w:rPr>
        <w:t>Psychology from an Empirical Standpoint</w:t>
      </w:r>
      <w:r w:rsidRPr="00335666">
        <w:t xml:space="preserve">, </w:t>
      </w:r>
    </w:p>
    <w:p w:rsidR="003A1AFF" w:rsidRDefault="003A1AFF" w:rsidP="003A1AFF">
      <w:pPr>
        <w:pStyle w:val="References"/>
      </w:pPr>
    </w:p>
    <w:p w:rsidR="002D463E" w:rsidRPr="00335666" w:rsidRDefault="002D463E" w:rsidP="003A1AFF">
      <w:pPr>
        <w:pStyle w:val="References"/>
      </w:pPr>
      <w:r w:rsidRPr="00335666">
        <w:t>McAlister</w:t>
      </w:r>
      <w:r>
        <w:t>,</w:t>
      </w:r>
      <w:r w:rsidRPr="00335666">
        <w:t xml:space="preserve"> </w:t>
      </w:r>
      <w:r>
        <w:t>L.</w:t>
      </w:r>
      <w:r w:rsidRPr="00335666">
        <w:t xml:space="preserve"> L. (Ed.),</w:t>
      </w:r>
      <w:r>
        <w:t xml:space="preserve"> translated by</w:t>
      </w:r>
      <w:r w:rsidRPr="00335666">
        <w:t xml:space="preserve"> Rancurello, </w:t>
      </w:r>
      <w:r>
        <w:t>A.</w:t>
      </w:r>
      <w:r w:rsidRPr="00335666">
        <w:t xml:space="preserve"> C. Terrell, D. B. </w:t>
      </w:r>
      <w:r>
        <w:t xml:space="preserve">and </w:t>
      </w:r>
      <w:r w:rsidRPr="00335666">
        <w:t>McAlister</w:t>
      </w:r>
      <w:r>
        <w:t>, L. L.,</w:t>
      </w:r>
      <w:r w:rsidRPr="00335666">
        <w:t xml:space="preserve"> </w:t>
      </w:r>
      <w:r>
        <w:t>Routledge and Kegan Paul, New York.</w:t>
      </w:r>
      <w:r w:rsidRPr="00335666">
        <w:t xml:space="preserve"> </w:t>
      </w:r>
    </w:p>
    <w:p w:rsidR="003A1AFF" w:rsidRDefault="003A1AFF" w:rsidP="003A1AFF">
      <w:pPr>
        <w:pStyle w:val="References"/>
      </w:pPr>
    </w:p>
    <w:p w:rsidR="002D463E" w:rsidRPr="00335666" w:rsidRDefault="002D463E" w:rsidP="003A1AFF">
      <w:pPr>
        <w:pStyle w:val="References"/>
      </w:pPr>
      <w:r w:rsidRPr="00335666">
        <w:t>Caswell, H., Fujiwara, M. and S. Brault (1999), “D</w:t>
      </w:r>
      <w:r w:rsidR="003A1AFF">
        <w:t>eclining Survival Probability</w:t>
      </w:r>
      <w:r w:rsidRPr="00335666">
        <w:t>Threatens the North Atlantic Right Whale”</w:t>
      </w:r>
      <w:r>
        <w:t>,</w:t>
      </w:r>
      <w:r w:rsidRPr="00335666">
        <w:t xml:space="preserve"> </w:t>
      </w:r>
      <w:r w:rsidRPr="00335666">
        <w:rPr>
          <w:i/>
        </w:rPr>
        <w:t>Proceedings of the National Academy</w:t>
      </w:r>
      <w:r w:rsidR="003A1AFF">
        <w:t xml:space="preserve"> </w:t>
      </w:r>
      <w:r w:rsidRPr="00335666">
        <w:rPr>
          <w:i/>
        </w:rPr>
        <w:t>of Sciences</w:t>
      </w:r>
      <w:r>
        <w:t>, 96,</w:t>
      </w:r>
      <w:r w:rsidRPr="00335666">
        <w:t xml:space="preserve"> </w:t>
      </w:r>
      <w:r>
        <w:t xml:space="preserve">pp. </w:t>
      </w:r>
      <w:r w:rsidRPr="00335666">
        <w:t>3308-3313.</w:t>
      </w:r>
    </w:p>
    <w:p w:rsidR="003A1AFF" w:rsidRDefault="003A1AFF" w:rsidP="003A1AFF">
      <w:pPr>
        <w:pStyle w:val="References"/>
      </w:pPr>
    </w:p>
    <w:p w:rsidR="002D463E" w:rsidRPr="00335666" w:rsidRDefault="002D463E" w:rsidP="003A1AFF">
      <w:pPr>
        <w:pStyle w:val="References"/>
      </w:pPr>
      <w:r>
        <w:t>Chadwick, D.</w:t>
      </w:r>
      <w:r w:rsidRPr="00335666">
        <w:t xml:space="preserve"> H. (2008), “Right Whale Watch: On the Brink, On the Rebound”</w:t>
      </w:r>
      <w:r>
        <w:t>,</w:t>
      </w:r>
      <w:r w:rsidR="003A1AFF">
        <w:t xml:space="preserve"> </w:t>
      </w:r>
      <w:r w:rsidRPr="00335666">
        <w:rPr>
          <w:i/>
        </w:rPr>
        <w:t>National Geographic</w:t>
      </w:r>
      <w:r>
        <w:t>, October,</w:t>
      </w:r>
      <w:r w:rsidRPr="00335666">
        <w:t xml:space="preserve"> </w:t>
      </w:r>
      <w:r>
        <w:t xml:space="preserve">pp. </w:t>
      </w:r>
      <w:r w:rsidRPr="00335666">
        <w:t>102-111.</w:t>
      </w:r>
    </w:p>
    <w:p w:rsidR="003A1AFF" w:rsidRDefault="003A1AFF" w:rsidP="003A1AFF">
      <w:pPr>
        <w:pStyle w:val="References"/>
      </w:pPr>
    </w:p>
    <w:p w:rsidR="002D463E" w:rsidRPr="00335666" w:rsidRDefault="002D463E" w:rsidP="003A1AFF">
      <w:pPr>
        <w:pStyle w:val="References"/>
      </w:pPr>
      <w:r w:rsidRPr="00335666">
        <w:t>Croll, D. A., Acevedo-Gutiérrez, A. Tershy, B. R. and Urbán-Ramírez</w:t>
      </w:r>
      <w:r>
        <w:t>,</w:t>
      </w:r>
      <w:r w:rsidR="003A1AFF">
        <w:t xml:space="preserve"> J. (2001), “The </w:t>
      </w:r>
      <w:r w:rsidRPr="00335666">
        <w:t>Diving Behavior of Blue and Fin Whales</w:t>
      </w:r>
      <w:r w:rsidR="003A1AFF">
        <w:t xml:space="preserve">: Is Dive Duration Shorter Than </w:t>
      </w:r>
      <w:r w:rsidRPr="00335666">
        <w:t>Expected Based On Oxygen Stores?”</w:t>
      </w:r>
      <w:r>
        <w:t>,</w:t>
      </w:r>
      <w:r w:rsidRPr="00335666">
        <w:t xml:space="preserve"> </w:t>
      </w:r>
      <w:r w:rsidRPr="00335666">
        <w:rPr>
          <w:i/>
        </w:rPr>
        <w:t>Comparative Biochemistry and Physiology</w:t>
      </w:r>
      <w:r w:rsidR="003A1AFF">
        <w:t xml:space="preserve"> </w:t>
      </w:r>
      <w:r w:rsidRPr="00335666">
        <w:rPr>
          <w:i/>
        </w:rPr>
        <w:t>Part A</w:t>
      </w:r>
      <w:r>
        <w:t>, 129,</w:t>
      </w:r>
      <w:r w:rsidRPr="00335666">
        <w:t xml:space="preserve"> </w:t>
      </w:r>
      <w:r>
        <w:t xml:space="preserve">pp. </w:t>
      </w:r>
      <w:r w:rsidRPr="00335666">
        <w:t>797-809.</w:t>
      </w:r>
    </w:p>
    <w:p w:rsidR="003A1AFF" w:rsidRDefault="003A1AFF" w:rsidP="003A1AFF">
      <w:pPr>
        <w:pStyle w:val="References"/>
      </w:pPr>
    </w:p>
    <w:p w:rsidR="002D463E" w:rsidRPr="00335666" w:rsidRDefault="002D463E" w:rsidP="003A1AFF">
      <w:pPr>
        <w:pStyle w:val="References"/>
      </w:pPr>
      <w:r w:rsidRPr="00335666">
        <w:t>Frasier, T. R., McLeod, B. A.</w:t>
      </w:r>
      <w:r>
        <w:t>,</w:t>
      </w:r>
      <w:r w:rsidRPr="00335666">
        <w:t xml:space="preserve"> Gillett, R. M.</w:t>
      </w:r>
      <w:r>
        <w:t>,</w:t>
      </w:r>
      <w:r w:rsidRPr="00335666">
        <w:t xml:space="preserve"> Brown</w:t>
      </w:r>
      <w:r w:rsidR="003A1AFF">
        <w:t xml:space="preserve">, M. W. and White B. N. (2007), </w:t>
      </w:r>
      <w:r w:rsidRPr="00335666">
        <w:t>“Right Whales Past and Present as Revealed by Th</w:t>
      </w:r>
      <w:r w:rsidR="003A1AFF">
        <w:t xml:space="preserve">eir Genes”, in Kraus, S. D. and </w:t>
      </w:r>
      <w:r>
        <w:t>Rolland, R. M. (Eds)</w:t>
      </w:r>
      <w:r w:rsidRPr="00335666">
        <w:t xml:space="preserve"> </w:t>
      </w:r>
      <w:r w:rsidRPr="00335666">
        <w:rPr>
          <w:i/>
        </w:rPr>
        <w:t>The Urban Whale: North Atlantic Right Whales at the</w:t>
      </w:r>
      <w:r w:rsidR="003A1AFF">
        <w:t xml:space="preserve"> </w:t>
      </w:r>
      <w:r w:rsidRPr="00335666">
        <w:rPr>
          <w:i/>
        </w:rPr>
        <w:t>Crossroads</w:t>
      </w:r>
      <w:r w:rsidRPr="00335666">
        <w:t>, Harvard University Press, Cambridge, MA, pp. 200-231.</w:t>
      </w:r>
    </w:p>
    <w:p w:rsidR="003A1AFF" w:rsidRDefault="003A1AFF" w:rsidP="003A1AFF">
      <w:pPr>
        <w:pStyle w:val="References"/>
      </w:pPr>
    </w:p>
    <w:p w:rsidR="002D463E" w:rsidRPr="00335666" w:rsidRDefault="002D463E" w:rsidP="003A1AFF">
      <w:pPr>
        <w:pStyle w:val="References"/>
      </w:pPr>
      <w:r w:rsidRPr="00335666">
        <w:t>Fujiwara, M. and Caswell</w:t>
      </w:r>
      <w:r>
        <w:t>,</w:t>
      </w:r>
      <w:r w:rsidRPr="00335666">
        <w:t xml:space="preserve"> H. (2001), “Demography o</w:t>
      </w:r>
      <w:r w:rsidR="003A1AFF">
        <w:t xml:space="preserve">f the Endangered North Atlantic </w:t>
      </w:r>
      <w:r w:rsidRPr="00335666">
        <w:t>Right Whale”</w:t>
      </w:r>
      <w:r>
        <w:t>,</w:t>
      </w:r>
      <w:r w:rsidRPr="00335666">
        <w:t xml:space="preserve"> </w:t>
      </w:r>
      <w:r w:rsidRPr="00335666">
        <w:rPr>
          <w:i/>
        </w:rPr>
        <w:t>Nature</w:t>
      </w:r>
      <w:r>
        <w:t>, 414, pp.</w:t>
      </w:r>
      <w:r w:rsidRPr="00335666">
        <w:t xml:space="preserve"> 537-541.</w:t>
      </w:r>
    </w:p>
    <w:p w:rsidR="003A1AFF" w:rsidRDefault="003A1AFF" w:rsidP="003A1AFF">
      <w:pPr>
        <w:pStyle w:val="References"/>
      </w:pPr>
    </w:p>
    <w:p w:rsidR="002D463E" w:rsidRPr="00335666" w:rsidRDefault="002D463E" w:rsidP="003A1AFF">
      <w:pPr>
        <w:pStyle w:val="References"/>
      </w:pPr>
      <w:r w:rsidRPr="00335666">
        <w:t>Johnson, A. J., Kraus, S. D.</w:t>
      </w:r>
      <w:r>
        <w:t xml:space="preserve">, </w:t>
      </w:r>
      <w:r w:rsidRPr="00335666">
        <w:t>Kenney, J. F. and Mayo C. A. (2007), “The Entangled Li</w:t>
      </w:r>
      <w:r w:rsidR="003A1AFF">
        <w:t xml:space="preserve">ves </w:t>
      </w:r>
      <w:r w:rsidRPr="00335666">
        <w:t>of Right Whales an</w:t>
      </w:r>
      <w:r>
        <w:t>d Fishermen: Can They Coexist?”,</w:t>
      </w:r>
      <w:r w:rsidR="003A1AFF">
        <w:t xml:space="preserve"> in Kraus, S. D. and Rolland, </w:t>
      </w:r>
      <w:r>
        <w:t>R. M. (Eds)</w:t>
      </w:r>
      <w:r w:rsidRPr="00335666">
        <w:t xml:space="preserve"> </w:t>
      </w:r>
      <w:r w:rsidRPr="00335666">
        <w:rPr>
          <w:i/>
        </w:rPr>
        <w:t>The Urban Whale: North Atlantic Right Whales at the Crossroads</w:t>
      </w:r>
      <w:r w:rsidR="003A1AFF">
        <w:t xml:space="preserve">, </w:t>
      </w:r>
      <w:r w:rsidRPr="00335666">
        <w:t>Harvard University Press, Cambridge, MA, pp. 380-408.</w:t>
      </w:r>
    </w:p>
    <w:p w:rsidR="003A1AFF" w:rsidRDefault="003A1AFF" w:rsidP="003A1AFF">
      <w:pPr>
        <w:pStyle w:val="References"/>
      </w:pPr>
    </w:p>
    <w:p w:rsidR="002D463E" w:rsidRPr="00335666" w:rsidRDefault="002D463E" w:rsidP="003A1AFF">
      <w:pPr>
        <w:pStyle w:val="References"/>
      </w:pPr>
      <w:r w:rsidRPr="00335666">
        <w:t>Knowlton, A. R. and Brown M. W. (2007), “Running</w:t>
      </w:r>
      <w:r w:rsidR="003A1AFF">
        <w:t xml:space="preserve"> the Gauntlet: Right Whales and </w:t>
      </w:r>
      <w:r w:rsidRPr="00335666">
        <w:t>Vessel Strikes”, in Kraus,</w:t>
      </w:r>
      <w:r>
        <w:t xml:space="preserve"> S. D. and Rolland, R. M. (Eds)</w:t>
      </w:r>
      <w:r w:rsidRPr="00335666">
        <w:t xml:space="preserve"> </w:t>
      </w:r>
      <w:r w:rsidRPr="00335666">
        <w:rPr>
          <w:i/>
        </w:rPr>
        <w:t>The Urban Whale:</w:t>
      </w:r>
      <w:r w:rsidR="003A1AFF">
        <w:t xml:space="preserve"> </w:t>
      </w:r>
      <w:r w:rsidRPr="00335666">
        <w:rPr>
          <w:i/>
        </w:rPr>
        <w:t>North Atlantic Right Whales at the Crossroads</w:t>
      </w:r>
      <w:r w:rsidR="003A1AFF">
        <w:t xml:space="preserve">, Harvard University Press, </w:t>
      </w:r>
      <w:r w:rsidRPr="00335666">
        <w:t>Cambridge, MA, pp. 409-435.</w:t>
      </w:r>
    </w:p>
    <w:p w:rsidR="003A1AFF" w:rsidRDefault="003A1AFF" w:rsidP="003A1AFF">
      <w:pPr>
        <w:pStyle w:val="References"/>
      </w:pPr>
    </w:p>
    <w:p w:rsidR="002D463E" w:rsidRPr="003A1AFF" w:rsidRDefault="002D463E" w:rsidP="003A1AFF">
      <w:pPr>
        <w:pStyle w:val="References"/>
        <w:rPr>
          <w:i/>
        </w:rPr>
      </w:pPr>
      <w:r w:rsidRPr="00335666">
        <w:t xml:space="preserve">Kraus, S. D. and R. M. Rolland (2007), </w:t>
      </w:r>
      <w:r w:rsidRPr="00335666">
        <w:rPr>
          <w:i/>
        </w:rPr>
        <w:t>The Urban Wha</w:t>
      </w:r>
      <w:r w:rsidR="003A1AFF">
        <w:rPr>
          <w:i/>
        </w:rPr>
        <w:t xml:space="preserve">le: North Atlantic Right Whales </w:t>
      </w:r>
      <w:r w:rsidRPr="00335666">
        <w:rPr>
          <w:i/>
        </w:rPr>
        <w:t>at the Crossroads</w:t>
      </w:r>
      <w:r w:rsidRPr="00335666">
        <w:t>, Harvard University Press: Cambridge, MA.</w:t>
      </w:r>
    </w:p>
    <w:p w:rsidR="003A1AFF" w:rsidRDefault="003A1AFF" w:rsidP="003A1AFF">
      <w:pPr>
        <w:pStyle w:val="References"/>
      </w:pPr>
    </w:p>
    <w:p w:rsidR="0036482E" w:rsidRDefault="0036482E" w:rsidP="003A1AFF">
      <w:pPr>
        <w:pStyle w:val="References"/>
      </w:pPr>
    </w:p>
    <w:p w:rsidR="002D463E" w:rsidRPr="00335666" w:rsidRDefault="002D463E" w:rsidP="003A1AFF">
      <w:pPr>
        <w:pStyle w:val="References"/>
      </w:pPr>
      <w:r w:rsidRPr="00335666">
        <w:t>Kraus, S.D., Pace III, R. M. and Frasier</w:t>
      </w:r>
      <w:r>
        <w:t>,</w:t>
      </w:r>
      <w:r w:rsidRPr="00335666">
        <w:t xml:space="preserve"> T. R. (2007)</w:t>
      </w:r>
      <w:r w:rsidR="003A1AFF">
        <w:t xml:space="preserve">, “High Investment, Low Return: </w:t>
      </w:r>
      <w:r w:rsidRPr="00335666">
        <w:t xml:space="preserve">The Strange Case of Reproduction in </w:t>
      </w:r>
      <w:r w:rsidRPr="00335666">
        <w:rPr>
          <w:i/>
        </w:rPr>
        <w:t>Eubalaena glacialis</w:t>
      </w:r>
      <w:r w:rsidRPr="00335666">
        <w:t>”, in Kraus, S. D. and</w:t>
      </w:r>
      <w:r w:rsidR="003A1AFF">
        <w:t xml:space="preserve"> </w:t>
      </w:r>
      <w:r w:rsidRPr="00335666">
        <w:t xml:space="preserve">Rolland, R. M. (Eds) </w:t>
      </w:r>
      <w:r w:rsidRPr="00335666">
        <w:rPr>
          <w:i/>
        </w:rPr>
        <w:t>The Urban Whale: North Atlantic Right Whales at the</w:t>
      </w:r>
      <w:r w:rsidR="003A1AFF">
        <w:t xml:space="preserve"> </w:t>
      </w:r>
      <w:r w:rsidRPr="00335666">
        <w:rPr>
          <w:i/>
        </w:rPr>
        <w:t>Crossroads</w:t>
      </w:r>
      <w:r w:rsidRPr="00335666">
        <w:t>, Harvard University Press, Cambridge, MA, pp. 172-199.</w:t>
      </w:r>
    </w:p>
    <w:p w:rsidR="003A1AFF" w:rsidRDefault="003A1AFF" w:rsidP="003A1AFF">
      <w:pPr>
        <w:pStyle w:val="References"/>
      </w:pPr>
    </w:p>
    <w:p w:rsidR="002D463E" w:rsidRPr="00335666" w:rsidRDefault="002D463E" w:rsidP="003A1AFF">
      <w:pPr>
        <w:pStyle w:val="References"/>
      </w:pPr>
      <w:r>
        <w:t>Langer, M.</w:t>
      </w:r>
      <w:r w:rsidRPr="00335666">
        <w:t xml:space="preserve"> (1990), “Merleau-Ponty and Deep Ecology”, in </w:t>
      </w:r>
      <w:r>
        <w:t>Johnson</w:t>
      </w:r>
      <w:r w:rsidRPr="00335666">
        <w:t xml:space="preserve"> </w:t>
      </w:r>
      <w:r>
        <w:t xml:space="preserve">G. A. and </w:t>
      </w:r>
      <w:r w:rsidRPr="00335666">
        <w:t>Smith</w:t>
      </w:r>
      <w:r>
        <w:t>.</w:t>
      </w:r>
      <w:r w:rsidRPr="00335666">
        <w:t xml:space="preserve"> </w:t>
      </w:r>
      <w:r>
        <w:t>M.</w:t>
      </w:r>
      <w:r w:rsidRPr="00335666">
        <w:t xml:space="preserve"> B. </w:t>
      </w:r>
      <w:r>
        <w:t>(Eds</w:t>
      </w:r>
      <w:r w:rsidRPr="00335666">
        <w:t>)</w:t>
      </w:r>
      <w:r>
        <w:t xml:space="preserve"> </w:t>
      </w:r>
      <w:r w:rsidRPr="00335666">
        <w:rPr>
          <w:i/>
        </w:rPr>
        <w:t>Ontology and Alterity in</w:t>
      </w:r>
      <w:r>
        <w:rPr>
          <w:i/>
        </w:rPr>
        <w:t xml:space="preserve"> </w:t>
      </w:r>
      <w:r w:rsidRPr="00335666">
        <w:rPr>
          <w:i/>
        </w:rPr>
        <w:t>Merleau-Ponty</w:t>
      </w:r>
      <w:r>
        <w:t xml:space="preserve">, </w:t>
      </w:r>
      <w:r w:rsidRPr="00335666">
        <w:t>Northwestern University Press, Evanston, IL,</w:t>
      </w:r>
      <w:r w:rsidRPr="004D7AEC">
        <w:t xml:space="preserve"> </w:t>
      </w:r>
      <w:r w:rsidRPr="00335666">
        <w:t>pp. 115-129.</w:t>
      </w:r>
    </w:p>
    <w:p w:rsidR="003A1AFF" w:rsidRDefault="003A1AFF" w:rsidP="003A1AFF">
      <w:pPr>
        <w:pStyle w:val="References"/>
      </w:pPr>
    </w:p>
    <w:p w:rsidR="002D463E" w:rsidRPr="00335666" w:rsidRDefault="002D463E" w:rsidP="003A1AFF">
      <w:pPr>
        <w:pStyle w:val="References"/>
      </w:pPr>
      <w:r w:rsidRPr="00335666">
        <w:t xml:space="preserve">Merleau-Ponty, Maurice (1945/1962), </w:t>
      </w:r>
      <w:r w:rsidRPr="00335666">
        <w:rPr>
          <w:i/>
        </w:rPr>
        <w:t>Phenomenology of Perception</w:t>
      </w:r>
      <w:r w:rsidRPr="00335666">
        <w:t xml:space="preserve">, </w:t>
      </w:r>
      <w:r>
        <w:t xml:space="preserve">translated by </w:t>
      </w:r>
      <w:r w:rsidRPr="00335666">
        <w:t>Smith</w:t>
      </w:r>
      <w:r>
        <w:t>,</w:t>
      </w:r>
      <w:r w:rsidRPr="004D7AEC">
        <w:t xml:space="preserve"> </w:t>
      </w:r>
      <w:r>
        <w:t>C.</w:t>
      </w:r>
      <w:r w:rsidRPr="00335666">
        <w:t>, Routledge</w:t>
      </w:r>
      <w:r>
        <w:t>,</w:t>
      </w:r>
      <w:r w:rsidRPr="00335666">
        <w:t xml:space="preserve"> </w:t>
      </w:r>
      <w:r>
        <w:t>New York.</w:t>
      </w:r>
    </w:p>
    <w:p w:rsidR="003A1AFF" w:rsidRDefault="003A1AFF" w:rsidP="003A1AFF">
      <w:pPr>
        <w:pStyle w:val="References"/>
      </w:pPr>
    </w:p>
    <w:p w:rsidR="002D463E" w:rsidRDefault="002D463E" w:rsidP="003A1AFF">
      <w:pPr>
        <w:pStyle w:val="References"/>
      </w:pPr>
      <w:r>
        <w:t xml:space="preserve">----. </w:t>
      </w:r>
      <w:r w:rsidRPr="00335666">
        <w:t>(1947/1964), “The Primacy of Perception and Its Philosophical Consequences”,</w:t>
      </w:r>
      <w:r>
        <w:t xml:space="preserve"> in </w:t>
      </w:r>
      <w:r w:rsidRPr="00335666">
        <w:t>Edie</w:t>
      </w:r>
      <w:r>
        <w:t>,</w:t>
      </w:r>
      <w:r w:rsidRPr="00335666">
        <w:t xml:space="preserve"> </w:t>
      </w:r>
      <w:r>
        <w:t>J.</w:t>
      </w:r>
      <w:r w:rsidRPr="00335666">
        <w:t xml:space="preserve"> M. (Ed.</w:t>
      </w:r>
      <w:r>
        <w:t xml:space="preserve">) </w:t>
      </w:r>
      <w:r w:rsidRPr="00335666">
        <w:rPr>
          <w:i/>
        </w:rPr>
        <w:t>The Primacy of Perception and Other Essays</w:t>
      </w:r>
      <w:r>
        <w:rPr>
          <w:i/>
        </w:rPr>
        <w:t xml:space="preserve"> </w:t>
      </w:r>
      <w:r w:rsidRPr="00335666">
        <w:rPr>
          <w:i/>
        </w:rPr>
        <w:t>on Phenomenological Psychology, the Philosophy of Art, History, and Politics</w:t>
      </w:r>
      <w:r w:rsidRPr="00335666">
        <w:t>,</w:t>
      </w:r>
      <w:r>
        <w:t xml:space="preserve"> translated by Edie, J. M.,</w:t>
      </w:r>
      <w:r w:rsidRPr="004D7AEC">
        <w:t xml:space="preserve"> </w:t>
      </w:r>
      <w:r w:rsidRPr="00335666">
        <w:t>Northwestern University Press,</w:t>
      </w:r>
      <w:r w:rsidRPr="004D7AEC">
        <w:t xml:space="preserve"> </w:t>
      </w:r>
      <w:r w:rsidRPr="00335666">
        <w:t>Evanston, IL, pp. 12-42.</w:t>
      </w:r>
    </w:p>
    <w:p w:rsidR="003A1AFF" w:rsidRPr="004D7AEC" w:rsidRDefault="003A1AFF" w:rsidP="003A1AFF">
      <w:pPr>
        <w:pStyle w:val="References"/>
      </w:pPr>
    </w:p>
    <w:p w:rsidR="002D463E" w:rsidRPr="00335666" w:rsidRDefault="002D463E" w:rsidP="003A1AFF">
      <w:pPr>
        <w:pStyle w:val="References"/>
      </w:pPr>
      <w:r>
        <w:t xml:space="preserve">----. </w:t>
      </w:r>
      <w:r w:rsidRPr="00335666">
        <w:t xml:space="preserve">(1964/1968), </w:t>
      </w:r>
      <w:r w:rsidRPr="00335666">
        <w:rPr>
          <w:i/>
        </w:rPr>
        <w:t>The Visible and the Invisible: Followed by working notes</w:t>
      </w:r>
      <w:r w:rsidRPr="00335666">
        <w:t xml:space="preserve">, </w:t>
      </w:r>
      <w:r>
        <w:t xml:space="preserve">translated by </w:t>
      </w:r>
      <w:r w:rsidRPr="00335666">
        <w:t>Lingis A</w:t>
      </w:r>
      <w:r>
        <w:t xml:space="preserve">., </w:t>
      </w:r>
      <w:r w:rsidRPr="00335666">
        <w:t>Northwestern University Press</w:t>
      </w:r>
      <w:r>
        <w:t>,</w:t>
      </w:r>
      <w:r w:rsidRPr="00335666">
        <w:t xml:space="preserve"> </w:t>
      </w:r>
      <w:r>
        <w:t>Evanston, IL</w:t>
      </w:r>
      <w:r w:rsidRPr="00335666">
        <w:t>.</w:t>
      </w:r>
    </w:p>
    <w:p w:rsidR="003A1AFF" w:rsidRDefault="003A1AFF" w:rsidP="003A1AFF">
      <w:pPr>
        <w:pStyle w:val="References"/>
      </w:pPr>
    </w:p>
    <w:p w:rsidR="003A1AFF" w:rsidRDefault="002D463E" w:rsidP="003A1AFF">
      <w:pPr>
        <w:pStyle w:val="References"/>
      </w:pPr>
      <w:r>
        <w:t>Nagel, T.</w:t>
      </w:r>
      <w:r w:rsidRPr="00335666">
        <w:t xml:space="preserve"> (1974), “What Is It Like To Be a Bat?” </w:t>
      </w:r>
      <w:r w:rsidRPr="00335666">
        <w:rPr>
          <w:i/>
        </w:rPr>
        <w:t>The Philosophical Review</w:t>
      </w:r>
      <w:r>
        <w:t xml:space="preserve"> 83, 4,pp. </w:t>
      </w:r>
      <w:r w:rsidR="003A1AFF">
        <w:t>435-450.</w:t>
      </w:r>
    </w:p>
    <w:p w:rsidR="003A1AFF" w:rsidRDefault="003A1AFF" w:rsidP="003A1AFF">
      <w:pPr>
        <w:pStyle w:val="References"/>
      </w:pPr>
    </w:p>
    <w:p w:rsidR="002D463E" w:rsidRPr="00E4766E" w:rsidRDefault="003A1AFF" w:rsidP="003A1AFF">
      <w:pPr>
        <w:pStyle w:val="References"/>
      </w:pPr>
      <w:r>
        <w:t>N</w:t>
      </w:r>
      <w:r w:rsidR="002D463E">
        <w:t>i</w:t>
      </w:r>
      <w:r>
        <w:t>e</w:t>
      </w:r>
      <w:r w:rsidR="002D463E">
        <w:t>tzsche, F.</w:t>
      </w:r>
      <w:r w:rsidR="002D463E" w:rsidRPr="00335666">
        <w:t xml:space="preserve"> (1873/1979), “On Truth and Lies in a Nonmoral Sense”, in</w:t>
      </w:r>
      <w:r w:rsidR="002D463E">
        <w:t xml:space="preserve"> </w:t>
      </w:r>
      <w:r w:rsidR="002D463E" w:rsidRPr="00335666">
        <w:t>Breazeale</w:t>
      </w:r>
      <w:r w:rsidR="002D463E">
        <w:t>,</w:t>
      </w:r>
      <w:r w:rsidR="002D463E" w:rsidRPr="00335666">
        <w:t xml:space="preserve"> </w:t>
      </w:r>
      <w:r w:rsidR="002D463E">
        <w:t>D.</w:t>
      </w:r>
      <w:r w:rsidR="002D463E" w:rsidRPr="00335666">
        <w:t xml:space="preserve"> </w:t>
      </w:r>
      <w:r w:rsidR="002D463E">
        <w:t>(Ed.)</w:t>
      </w:r>
      <w:r w:rsidR="002D463E" w:rsidRPr="00335666">
        <w:t xml:space="preserve"> </w:t>
      </w:r>
      <w:r w:rsidR="002D463E" w:rsidRPr="00335666">
        <w:rPr>
          <w:i/>
        </w:rPr>
        <w:t>Philosophy and Truth: Selections from</w:t>
      </w:r>
      <w:r w:rsidR="002D463E">
        <w:rPr>
          <w:i/>
        </w:rPr>
        <w:t xml:space="preserve"> </w:t>
      </w:r>
      <w:r w:rsidR="002D463E" w:rsidRPr="00335666">
        <w:rPr>
          <w:i/>
        </w:rPr>
        <w:t>Nietzsche’s Notebooks of the Early 1870’s</w:t>
      </w:r>
      <w:r w:rsidR="002D463E" w:rsidRPr="00335666">
        <w:t>,</w:t>
      </w:r>
      <w:r w:rsidR="002D463E">
        <w:t xml:space="preserve"> translated by Breazeale, D.,</w:t>
      </w:r>
      <w:r w:rsidR="002D463E" w:rsidRPr="00335666">
        <w:t xml:space="preserve"> </w:t>
      </w:r>
      <w:r w:rsidR="002D463E">
        <w:t xml:space="preserve">Humanity </w:t>
      </w:r>
      <w:r w:rsidR="002D463E" w:rsidRPr="00335666">
        <w:t>Books, New York: pp. 79-91.</w:t>
      </w:r>
    </w:p>
    <w:p w:rsidR="003A1AFF" w:rsidRDefault="003A1AFF" w:rsidP="003A1AFF">
      <w:pPr>
        <w:pStyle w:val="References"/>
      </w:pPr>
    </w:p>
    <w:p w:rsidR="002D463E" w:rsidRPr="00E4766E" w:rsidRDefault="002D463E" w:rsidP="003A1AFF">
      <w:pPr>
        <w:pStyle w:val="References"/>
        <w:rPr>
          <w:i/>
        </w:rPr>
      </w:pPr>
      <w:r>
        <w:t>Nollman, J.</w:t>
      </w:r>
      <w:r w:rsidRPr="00335666">
        <w:t xml:space="preserve"> (1987), “To Judge the Pain of Whales”</w:t>
      </w:r>
      <w:r>
        <w:t>,</w:t>
      </w:r>
      <w:r w:rsidRPr="00335666">
        <w:t xml:space="preserve"> </w:t>
      </w:r>
      <w:r w:rsidRPr="00335666">
        <w:rPr>
          <w:i/>
        </w:rPr>
        <w:t>Between the Species: A Journal of</w:t>
      </w:r>
      <w:r>
        <w:rPr>
          <w:i/>
        </w:rPr>
        <w:t xml:space="preserve"> </w:t>
      </w:r>
      <w:r w:rsidRPr="00335666">
        <w:rPr>
          <w:i/>
        </w:rPr>
        <w:t>Ethics</w:t>
      </w:r>
      <w:r>
        <w:t>, 3,</w:t>
      </w:r>
      <w:r w:rsidRPr="00335666">
        <w:t xml:space="preserve"> </w:t>
      </w:r>
      <w:r>
        <w:t xml:space="preserve">pp. </w:t>
      </w:r>
      <w:r w:rsidRPr="00335666">
        <w:t>133-137.</w:t>
      </w:r>
    </w:p>
    <w:p w:rsidR="003A1AFF" w:rsidRDefault="003A1AFF" w:rsidP="003A1AFF">
      <w:pPr>
        <w:pStyle w:val="References"/>
      </w:pPr>
    </w:p>
    <w:p w:rsidR="002D463E" w:rsidRPr="00335666" w:rsidRDefault="002D463E" w:rsidP="003A1AFF">
      <w:pPr>
        <w:pStyle w:val="References"/>
      </w:pPr>
      <w:r w:rsidRPr="00335666">
        <w:t xml:space="preserve">Nowacek, </w:t>
      </w:r>
      <w:r>
        <w:t>D. P. et al.</w:t>
      </w:r>
      <w:r w:rsidRPr="00335666">
        <w:t xml:space="preserve">(2001), “Buoyant Balaenids: The Ups and Downs of Buoyancy in </w:t>
      </w:r>
      <w:r w:rsidR="003A1AFF">
        <w:t xml:space="preserve"> </w:t>
      </w:r>
      <w:r w:rsidRPr="00335666">
        <w:t>Right</w:t>
      </w:r>
      <w:r>
        <w:t xml:space="preserve"> </w:t>
      </w:r>
      <w:r w:rsidRPr="00335666">
        <w:t>Whales”</w:t>
      </w:r>
      <w:r>
        <w:t xml:space="preserve">, in </w:t>
      </w:r>
      <w:r w:rsidRPr="005760C7">
        <w:rPr>
          <w:i/>
        </w:rPr>
        <w:t>Proceedings:</w:t>
      </w:r>
      <w:r>
        <w:t xml:space="preserve"> </w:t>
      </w:r>
      <w:r>
        <w:rPr>
          <w:i/>
        </w:rPr>
        <w:t>Biological Sciences</w:t>
      </w:r>
      <w:r>
        <w:t>, 2</w:t>
      </w:r>
      <w:r w:rsidRPr="005760C7">
        <w:t xml:space="preserve">68: </w:t>
      </w:r>
      <w:r w:rsidR="003A1AFF">
        <w:t xml:space="preserve">London: Royal Society:  </w:t>
      </w:r>
      <w:r>
        <w:t>pp. 1811-1816.</w:t>
      </w:r>
      <w:r w:rsidRPr="00335666">
        <w:t xml:space="preserve"> </w:t>
      </w:r>
    </w:p>
    <w:p w:rsidR="003A1AFF" w:rsidRDefault="003A1AFF" w:rsidP="003A1AFF">
      <w:pPr>
        <w:pStyle w:val="References"/>
      </w:pPr>
    </w:p>
    <w:p w:rsidR="002D463E" w:rsidRPr="00335666" w:rsidRDefault="002D463E" w:rsidP="003A1AFF">
      <w:pPr>
        <w:pStyle w:val="References"/>
      </w:pPr>
      <w:r>
        <w:t>Toadvine, T.</w:t>
      </w:r>
      <w:r w:rsidRPr="00335666">
        <w:t xml:space="preserve"> (2007), “How Not to be a Jellyfis</w:t>
      </w:r>
      <w:r w:rsidR="003A1AFF">
        <w:t xml:space="preserve">h: Human Exceptionalism and the </w:t>
      </w:r>
      <w:r>
        <w:t>Ontology of Reflection</w:t>
      </w:r>
      <w:r w:rsidRPr="00335666">
        <w:t>”</w:t>
      </w:r>
      <w:r>
        <w:t xml:space="preserve">, in </w:t>
      </w:r>
      <w:r w:rsidRPr="00335666">
        <w:t>Painter</w:t>
      </w:r>
      <w:r>
        <w:t>,</w:t>
      </w:r>
      <w:r w:rsidRPr="00335666">
        <w:t xml:space="preserve"> </w:t>
      </w:r>
      <w:r>
        <w:t>C.</w:t>
      </w:r>
      <w:r w:rsidRPr="00335666">
        <w:t xml:space="preserve"> </w:t>
      </w:r>
      <w:r>
        <w:t xml:space="preserve">and </w:t>
      </w:r>
      <w:r w:rsidRPr="00335666">
        <w:t>Lotz</w:t>
      </w:r>
      <w:r>
        <w:t>,</w:t>
      </w:r>
      <w:r w:rsidRPr="00335666">
        <w:t xml:space="preserve"> </w:t>
      </w:r>
      <w:r>
        <w:t>C.</w:t>
      </w:r>
      <w:r w:rsidR="003A1AFF">
        <w:t xml:space="preserve"> (Eds.) </w:t>
      </w:r>
      <w:r w:rsidRPr="00335666">
        <w:rPr>
          <w:i/>
        </w:rPr>
        <w:t>Phenomenology and the Non-Human Animal: At the Limits of Experience</w:t>
      </w:r>
      <w:r w:rsidR="003A1AFF">
        <w:t xml:space="preserve">, </w:t>
      </w:r>
      <w:r w:rsidRPr="00335666">
        <w:t>Springer, Dordrecht, pp. 39-56.</w:t>
      </w:r>
    </w:p>
    <w:p w:rsidR="003A1AFF" w:rsidRDefault="003A1AFF" w:rsidP="003A1AFF">
      <w:pPr>
        <w:pStyle w:val="References"/>
      </w:pPr>
    </w:p>
    <w:p w:rsidR="002D463E" w:rsidRPr="00335666" w:rsidRDefault="002D463E" w:rsidP="003A1AFF">
      <w:pPr>
        <w:pStyle w:val="References"/>
      </w:pPr>
      <w:r>
        <w:t>Weiss, G.</w:t>
      </w:r>
      <w:r w:rsidRPr="00335666">
        <w:t xml:space="preserve"> (2</w:t>
      </w:r>
      <w:r>
        <w:t xml:space="preserve">006), “Urban Flesh”, in Olkowski, D. and </w:t>
      </w:r>
      <w:r w:rsidRPr="00335666">
        <w:t>Weiss</w:t>
      </w:r>
      <w:r>
        <w:t>,</w:t>
      </w:r>
      <w:r w:rsidRPr="00335666">
        <w:t xml:space="preserve"> </w:t>
      </w:r>
      <w:r>
        <w:t>G.</w:t>
      </w:r>
      <w:r w:rsidR="003A1AFF">
        <w:t xml:space="preserve"> (Eds.) </w:t>
      </w:r>
      <w:r w:rsidRPr="00335666">
        <w:rPr>
          <w:i/>
        </w:rPr>
        <w:t>Feminist Interpretations of Maurice Merleau-Ponty</w:t>
      </w:r>
      <w:r w:rsidRPr="00335666">
        <w:t>, The</w:t>
      </w:r>
    </w:p>
    <w:p w:rsidR="003A1AFF" w:rsidRDefault="003A1AFF" w:rsidP="003A1AFF">
      <w:pPr>
        <w:pStyle w:val="References"/>
      </w:pPr>
    </w:p>
    <w:p w:rsidR="002D463E" w:rsidRDefault="002D463E" w:rsidP="003A1AFF">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rsidRPr="00335666">
        <w:t>Pennsylvania State University Press, University Park, PA, pp. 147-166.</w:t>
      </w:r>
    </w:p>
    <w:p w:rsidR="002D463E" w:rsidRPr="009B0FA9" w:rsidRDefault="002D463E" w:rsidP="003A1AFF">
      <w:pPr>
        <w:pStyle w:val="Heading1"/>
      </w:pPr>
      <w:bookmarkStart w:id="89" w:name="_Toc292202640"/>
      <w:r w:rsidRPr="009B0FA9">
        <w:t>Infancy, Animality and the Limits of Language in the Work of Giorgio Agamben</w:t>
      </w:r>
      <w:bookmarkEnd w:id="89"/>
    </w:p>
    <w:p w:rsidR="002D463E" w:rsidRPr="009B0FA9" w:rsidRDefault="002D463E" w:rsidP="003A1AFF"/>
    <w:p w:rsidR="002D463E" w:rsidRPr="009B0FA9" w:rsidRDefault="002D463E" w:rsidP="003A1AFF">
      <w:pPr>
        <w:pStyle w:val="Heading1"/>
      </w:pPr>
      <w:bookmarkStart w:id="90" w:name="_Toc292202641"/>
      <w:r w:rsidRPr="009B0FA9">
        <w:t>Sarah Hansen</w:t>
      </w:r>
      <w:r w:rsidRPr="009B0FA9">
        <w:rPr>
          <w:rStyle w:val="FootnoteReference"/>
          <w:b w:val="0"/>
          <w:sz w:val="32"/>
          <w:szCs w:val="32"/>
        </w:rPr>
        <w:footnoteReference w:id="59"/>
      </w:r>
      <w:bookmarkEnd w:id="90"/>
    </w:p>
    <w:p w:rsidR="002D463E" w:rsidRPr="009B0FA9" w:rsidRDefault="002D463E" w:rsidP="002D463E">
      <w:pPr>
        <w:tabs>
          <w:tab w:val="left" w:pos="720"/>
        </w:tabs>
        <w:contextualSpacing/>
        <w:rPr>
          <w:b/>
        </w:rPr>
      </w:pPr>
    </w:p>
    <w:p w:rsidR="002D463E" w:rsidRPr="009B0FA9" w:rsidRDefault="002D463E" w:rsidP="003A1AFF">
      <w:pPr>
        <w:pStyle w:val="Heading3"/>
      </w:pPr>
      <w:r w:rsidRPr="009B0FA9">
        <w:t>Introduction: A Strange Amphibian</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While it may seem strange to identify classics in a field as new as critical animal studies, for Giorgio Agamben’s </w:t>
      </w:r>
      <w:r w:rsidRPr="009B0FA9">
        <w:rPr>
          <w:i/>
        </w:rPr>
        <w:t xml:space="preserve">The Open: Man and Animal </w:t>
      </w:r>
      <w:r w:rsidRPr="009B0FA9">
        <w:t xml:space="preserve">the label seems appropriate. Since its English translation in 2004, </w:t>
      </w:r>
      <w:r w:rsidRPr="009B0FA9">
        <w:rPr>
          <w:i/>
        </w:rPr>
        <w:t>The Open</w:t>
      </w:r>
      <w:r w:rsidRPr="009B0FA9">
        <w:t xml:space="preserve">’s central concept—the “anthropological machine”—has found countless applications as a marker of the logic of “inclusive exclusion” that distinguishes human and non-human animals (see especially Calarco, 2008; Oliver, 2009; and Jones, 2007). According to Agamben, the anthropological machine describes the human as a “zone of indeterminacy” in which “the outside is nothing but the exclusion of an inside and the inside is in turn only the inclusion of an outside” (2004: 37). In </w:t>
      </w:r>
      <w:r w:rsidRPr="009B0FA9">
        <w:rPr>
          <w:i/>
        </w:rPr>
        <w:t>The Open</w:t>
      </w:r>
      <w:r w:rsidRPr="009B0FA9">
        <w:t xml:space="preserve">, the humanized animal and the animalized human are pre-modern and modern figures of this ambiguous unstable fracture. They also share its hidden truth: language is not a natural given but a historical production. In the anthropological machine, the human is a “ceaselessly updated decision” on what constitutes language, a site “in which the caesurae and their re-articulation are always dislocated and displaced anew” (2004: 38). If relations between human and non-human animals are to take on a new form, if neither are to be reduced to “bare life,” then the machine must be “rendered inoperative.” </w:t>
      </w:r>
      <w:r w:rsidRPr="009B0FA9">
        <w:tab/>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Many researchers in critical animal studies share Agamben’s goal of transforming the relationship between human and non-human animals but few have a clear sense of what lies beyond the anthropological machine. At the conclusion of </w:t>
      </w:r>
      <w:r w:rsidRPr="009B0FA9">
        <w:rPr>
          <w:i/>
        </w:rPr>
        <w:t>The Open</w:t>
      </w:r>
      <w:r w:rsidRPr="009B0FA9">
        <w:t xml:space="preserve">, Agamben offers only ellipses. To render the machine inoperative, he says, is to witness “the central emptiness, the hiatus that—within man—separates man and animal, and to risk ourselves in that emptiness: the suspension of the suspension, Shabbat of both animal and man” (93). In other texts and especially alongside his notion of “infancy,” Agamben provides clues to the content of this Shabbat. Developed across </w:t>
      </w:r>
      <w:r w:rsidRPr="009B0FA9">
        <w:rPr>
          <w:i/>
        </w:rPr>
        <w:t>Infancy and History</w:t>
      </w:r>
      <w:r w:rsidRPr="009B0FA9">
        <w:t xml:space="preserve"> (1978), </w:t>
      </w:r>
      <w:r w:rsidRPr="009B0FA9">
        <w:rPr>
          <w:i/>
        </w:rPr>
        <w:t>Language and Death</w:t>
      </w:r>
      <w:r w:rsidRPr="009B0FA9">
        <w:t xml:space="preserve"> (1982), </w:t>
      </w:r>
      <w:r w:rsidRPr="009B0FA9">
        <w:rPr>
          <w:i/>
        </w:rPr>
        <w:t>The Idea of Prose</w:t>
      </w:r>
      <w:r w:rsidRPr="009B0FA9">
        <w:t xml:space="preserve"> (1985) and </w:t>
      </w:r>
      <w:r w:rsidRPr="009B0FA9">
        <w:rPr>
          <w:i/>
        </w:rPr>
        <w:t>Remnants of Auschwitz</w:t>
      </w:r>
      <w:r w:rsidRPr="009B0FA9">
        <w:t xml:space="preserve"> (1998), “infancy” describes an experience of language beyond the logic of inclusive exclusion, an experience of potentiality rather than violent exposure. Agamben’s recurrent figure of infantile potentiality is the </w:t>
      </w:r>
      <w:r w:rsidRPr="009B0FA9">
        <w:rPr>
          <w:i/>
        </w:rPr>
        <w:t>axolotl</w:t>
      </w:r>
      <w:r w:rsidRPr="009B0FA9">
        <w:t xml:space="preserve">, or “Mexican walking fish,” an amphibian that retains juvenile characteristics (gills) even after the development of adult traits (lungs and reproductive organs). With this figure of an “eternal child,” Agamben suggests that a new relation between human and non-human animals might emerge via a new childlike experience of language. </w:t>
      </w:r>
    </w:p>
    <w:p w:rsidR="002D463E" w:rsidRPr="009B0FA9" w:rsidRDefault="002D463E" w:rsidP="002D463E">
      <w:pPr>
        <w:tabs>
          <w:tab w:val="left" w:pos="720"/>
        </w:tabs>
        <w:contextualSpacing/>
      </w:pPr>
    </w:p>
    <w:p w:rsidR="002D463E" w:rsidRDefault="002D463E" w:rsidP="002D463E">
      <w:pPr>
        <w:tabs>
          <w:tab w:val="left" w:pos="720"/>
        </w:tabs>
        <w:contextualSpacing/>
      </w:pPr>
      <w:r w:rsidRPr="009B0FA9">
        <w:t xml:space="preserve">While the </w:t>
      </w:r>
      <w:r w:rsidRPr="009B0FA9">
        <w:rPr>
          <w:i/>
        </w:rPr>
        <w:t xml:space="preserve">axolotl </w:t>
      </w:r>
      <w:r w:rsidRPr="009B0FA9">
        <w:t xml:space="preserve">is a curious and clarifying figure, in this essay, I argue that the amphibian betrays the limitations of infancy for any Shabbat of animal and man beyond the anthropological machine. On my reading of the </w:t>
      </w:r>
      <w:r w:rsidRPr="009B0FA9">
        <w:rPr>
          <w:i/>
        </w:rPr>
        <w:t>axolotl</w:t>
      </w:r>
      <w:r w:rsidRPr="009B0FA9">
        <w:t xml:space="preserve">, Agamben conflates infantile potentiality with infantile </w:t>
      </w:r>
      <w:r w:rsidRPr="009B0FA9">
        <w:rPr>
          <w:i/>
        </w:rPr>
        <w:t>in</w:t>
      </w:r>
      <w:r w:rsidRPr="009B0FA9">
        <w:t xml:space="preserve">dependence and, in this way, abstracts early experiences of language from important experiences of dependence (like the relation of children to their mothers). While Agamben would like to disconnect the constitution of language from its dependence on violence (against non-human animals), his attempt to locate language in a radical independence bears a violence of its own. Instead of jamming the anthropological machine, infancy re-functions it. If Agamben is to provide more than critical offerings for the field of critical animal studies, I argue that he must more thoroughly “risk [himself] in the emptiness” of a Shabbat both animal and man. To transform relations between human and non-human animals Agamben must attend to the vulnerable, dependent, </w:t>
      </w:r>
      <w:r w:rsidRPr="009B0FA9">
        <w:rPr>
          <w:i/>
        </w:rPr>
        <w:t>risky</w:t>
      </w:r>
      <w:r w:rsidRPr="009B0FA9">
        <w:t xml:space="preserve"> relations-with-others that condition experiences of language.</w:t>
      </w:r>
    </w:p>
    <w:p w:rsidR="002D463E" w:rsidRPr="009B0FA9" w:rsidRDefault="002D463E" w:rsidP="002D463E">
      <w:pPr>
        <w:tabs>
          <w:tab w:val="left" w:pos="720"/>
        </w:tabs>
        <w:contextualSpacing/>
      </w:pPr>
    </w:p>
    <w:p w:rsidR="002D463E" w:rsidRPr="009B0FA9" w:rsidRDefault="002D463E" w:rsidP="005E2315">
      <w:pPr>
        <w:pStyle w:val="Heading3"/>
      </w:pPr>
      <w:r w:rsidRPr="009B0FA9">
        <w:t>From the Anthropological Machine to Infantile Potentiality</w:t>
      </w:r>
    </w:p>
    <w:p w:rsidR="002D463E" w:rsidRPr="009B0FA9" w:rsidRDefault="002D463E" w:rsidP="002D463E">
      <w:pPr>
        <w:tabs>
          <w:tab w:val="left" w:pos="720"/>
        </w:tabs>
        <w:contextualSpacing/>
        <w:rPr>
          <w:b/>
        </w:rPr>
      </w:pPr>
    </w:p>
    <w:p w:rsidR="002D463E" w:rsidRPr="009B0FA9" w:rsidRDefault="002D463E" w:rsidP="002D463E">
      <w:pPr>
        <w:tabs>
          <w:tab w:val="left" w:pos="720"/>
        </w:tabs>
        <w:contextualSpacing/>
      </w:pPr>
      <w:r w:rsidRPr="009B0FA9">
        <w:rPr>
          <w:i/>
        </w:rPr>
        <w:t>The Open</w:t>
      </w:r>
      <w:r w:rsidRPr="009B0FA9">
        <w:t xml:space="preserve"> begins with a mysterious image found in a Hebrew Bible in Milan’s Ambrosian Library. The image depicts “the messianic banquet of the righteous on the last day” but instead of human faces, the righteous are represented with animal heads—“the eagle’s fierce beak, the red head of the ox and the lion’s head.” For Agamben, this image stands as a promise that, “on the last day, relations between animals and men will take on a new form, and that man himself will be reconciled with his animal nature” (2004: 2-3). In effect, the righteous symbolize the end of the anthropological machine and its logic of inclusive exclusion; according to this violent machinating logic, “the speaking man places his own muteness outside himself, as already and not yet human,” and conserves the animal other in the heart of the human (35). Much of </w:t>
      </w:r>
      <w:r w:rsidRPr="009B0FA9">
        <w:rPr>
          <w:i/>
        </w:rPr>
        <w:t>The Open</w:t>
      </w:r>
      <w:r w:rsidRPr="009B0FA9">
        <w:t xml:space="preserve"> proceeds, then, as a critique of philosophies that assign language to man over and against the animal. In its most accessible discussion, Agamben analyzes evolutionary theories of language and their anxiety over a pre-linguistic stage of human evolution. In its most extended and complicated engagement, Agamben focuses on </w:t>
      </w:r>
      <w:r w:rsidRPr="009B0FA9">
        <w:rPr>
          <w:i/>
        </w:rPr>
        <w:t>The Fundamental Concepts of Metaphysics</w:t>
      </w:r>
      <w:r w:rsidRPr="009B0FA9">
        <w:t xml:space="preserve"> and Heidegger’s attempt to define the world-relation of humans and animals. According to Agamben, Heidegger’s Dasein retains an anthropological gesture, conserving, by suspending, a relation to “animal captivation.” Agamben’s reading of Heidegger elucidates his notion of infancy as a “suspension of suspension.”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Because each involves the uncovering of an inclusive exclusion, Agamben’s critique of Heidegger is analogous to his critique of evolutionary theory. In the latter, he finds and follows an anxiety over the human being that cannot speak—the “ape-man.” Demonstrating the contradictions that the “ape-man” presents to Darwin’s readers, Agamben quotes evolutionary linguist Heymann Steinthal:</w:t>
      </w:r>
    </w:p>
    <w:p w:rsidR="002D463E" w:rsidRDefault="002D463E" w:rsidP="002D463E">
      <w:pPr>
        <w:tabs>
          <w:tab w:val="left" w:pos="720"/>
        </w:tabs>
        <w:ind w:left="720" w:right="720"/>
        <w:contextualSpacing/>
      </w:pPr>
    </w:p>
    <w:p w:rsidR="002D463E" w:rsidRPr="009B0FA9" w:rsidRDefault="002D463E" w:rsidP="002D463E">
      <w:pPr>
        <w:tabs>
          <w:tab w:val="left" w:pos="720"/>
        </w:tabs>
        <w:ind w:left="720" w:right="720"/>
        <w:contextualSpacing/>
      </w:pPr>
      <w:r w:rsidRPr="009B0FA9">
        <w:t>We have invented a stage of man that precedes language. But of course this is only a fiction; for language is so necessary and natural for the human being, that without it man can neither truly exist nor be thought of as existing. Either man has language, or he simply is not. On the other hand—and this justifies the fiction—language nevertheless cannot be regarded as already inherent in the human soul … it is a stage of the soul’s development and requires a deduction from the preceding stages. But why the human soul alone builds this bridge, why man alone and not the animal progresses through language from animality to humanity[?] (Agamben, 2004: 36)</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According to Agamben (and in the admission of Steinthal several years later), evolutionary theory is unable to answer the question it poses itself regarding the relation between the animal and the “animal-man.” That is, evolutionary theorists fail to explain why the capacity of speech follows from the evolution of </w:t>
      </w:r>
      <w:r w:rsidRPr="009B0FA9">
        <w:rPr>
          <w:i/>
        </w:rPr>
        <w:t>homo sapiens</w:t>
      </w:r>
      <w:r w:rsidRPr="009B0FA9">
        <w:t xml:space="preserve"> but not from the evolution of other animals. The distinctively human nature of the bridge from a pre-linguistic to a linguistic stage of existence is a working “fiction” that takes the shape of an inclusive exclusion. “What distinguishes man from animal is language, but this is not a natural given inherent in the psychophysical structure of man; it is, rather, a historical production which as such, can be properly assigned neither to man nor to animal” (Agamben, 2004: 36).  In evolutionary texts, the anthropological machine improperly assigns language to man only by pre-supposing the identity between the origin of language and the origin of man.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Agamben identifies an analogous bridge between the animal and Dasein in Heidegger’s attempt to break from anthropological modes of thought via fundamental ontology. As is well known, </w:t>
      </w:r>
      <w:r w:rsidRPr="009B0FA9">
        <w:rPr>
          <w:i/>
        </w:rPr>
        <w:t>The Fundamental Concepts of Metaphysics</w:t>
      </w:r>
      <w:r w:rsidRPr="009B0FA9">
        <w:t xml:space="preserve"> presents the animal as “poor in world” in a manner distinct from both Dasein and non-living material objects. Whereas Dasein is “world-forming” and the stone is fundamentally “without world,” Heidegger argues that the animal is “poor in world” in the sense of deprivation, that is, in the sense of possible, yet denied, access to being (Heidegger, 1995: 177). Specifically, the animal’s mode of relation is a “captivation” with its environment wherein the animal is paradoxically and respectively open and closed to beings and being-as-such; while animal captivation is an intense form of openness riveted to beings, the captivated animal cannot “disconceal its disinhibitor” and is closed being-as-such. By contrast, Heidegger argues that Dasein can suspend the relation of environmental captivation and open onto being and world.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On Agamben’s reading, the account of profound boredom in </w:t>
      </w:r>
      <w:r w:rsidRPr="009B0FA9">
        <w:rPr>
          <w:i/>
        </w:rPr>
        <w:t xml:space="preserve">Fundamental Concepts of Metaphysics </w:t>
      </w:r>
      <w:r w:rsidRPr="009B0FA9">
        <w:t>reveals the close proximity, rather than abyssal distance, of Dasein and the animal. In profound boredom, Dasein is riveted to “something that refuses itself” in a manner analogous to the animal captivated by something unrevealed. For Heidegger, this refusal refers to “possibilities that lie inactive,” possibilities that, as unutilized, “leave us in the lurch” of boredom. By being delivered over to inactive possibilities in boredom, Dasein is compelled to break towards the distinctively human experience of pure possibility (Heidegger, 1995: 144). Agamben makes much of the “being-compelled”/“being held in limbo”/“being held in suspense” that characterizes this second stage of profound boredom. To be compelled towards pure possibility is simply to suspend the captivation with inactive possibilities. In this way, boredom is effectively a passage from animal captivation to human world. “Profound boredom appears as the metaphysical operator in which the passage from poverty in world to world, from animal environment to human world, is realized” (Agamben, 2004: 68).</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As a bridge from one to the other, boredom betrays not only the proximity but also the anthropological machination of Dasein and animal. Instead of a radical abyss between the human and the animal (in which “the open” opens “beyond the limits of the animal environment, and unrelated to it”) boredom marks a close proximity of man and animal (in which “the open” opens “</w:t>
      </w:r>
      <w:r w:rsidRPr="009B0FA9">
        <w:rPr>
          <w:i/>
        </w:rPr>
        <w:t>by means of</w:t>
      </w:r>
      <w:r w:rsidRPr="009B0FA9">
        <w:t xml:space="preserve"> a suspension of the animal relation with the disinhibitor”) (Agamben, 2004: 68). In a profoundly anthropogenetic (and un-Heideggerian) turn of phrase, Agamben defines profound boredom as the “becoming Da-sein of the living man”. Boredom is a metaphysico-anthropological operator in which the question of openness to world and being is folded into the differentiation of human and animal. Thus, when Agamben remarks of Dasein that “the jewel set at the center of the human world and its clearing is nothing but animal captivation,” he reveals an “inclusive exclusion” in the Heideggerian text, one that—via boredom—conceals the animal other in the heart of Dasein (68).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Having linked Dasein to the violence of anthropology, Agamben’s notion of infancy dares to complete Heidegger’s radical break with machinating modes of thought. Only present in the ellipses of </w:t>
      </w:r>
      <w:r w:rsidRPr="009B0FA9">
        <w:rPr>
          <w:i/>
        </w:rPr>
        <w:t>The Open</w:t>
      </w:r>
      <w:r w:rsidRPr="009B0FA9">
        <w:t xml:space="preserve">, Agamben develops the notion of infancy most explicitly in </w:t>
      </w:r>
      <w:r w:rsidRPr="009B0FA9">
        <w:rPr>
          <w:i/>
        </w:rPr>
        <w:t>Infancy and History</w:t>
      </w:r>
      <w:r w:rsidRPr="009B0FA9">
        <w:t xml:space="preserve"> (1978), </w:t>
      </w:r>
      <w:r w:rsidRPr="009B0FA9">
        <w:rPr>
          <w:i/>
        </w:rPr>
        <w:t>Language and Death</w:t>
      </w:r>
      <w:r w:rsidRPr="009B0FA9">
        <w:t xml:space="preserve"> (1982), </w:t>
      </w:r>
      <w:r w:rsidRPr="009B0FA9">
        <w:rPr>
          <w:i/>
        </w:rPr>
        <w:t>The Idea of Prose</w:t>
      </w:r>
      <w:r w:rsidRPr="009B0FA9">
        <w:t xml:space="preserve"> (1985) and the recent </w:t>
      </w:r>
      <w:r w:rsidRPr="009B0FA9">
        <w:rPr>
          <w:i/>
        </w:rPr>
        <w:t>Homo Sacer</w:t>
      </w:r>
      <w:r w:rsidRPr="009B0FA9">
        <w:t xml:space="preserve"> series (1998-). An alternative “double negativity,” for Agamben, infancy is an experience of language that does not rely on inclusive exclusion. To evaluate its potential to “render inoperative” the anthropological machine, infancy must be considered through Agamben’s dramatic account of potentiality.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In his characteristic play with etymology, Agamben roots infancy in an archaic Latin term </w:t>
      </w:r>
      <w:r w:rsidRPr="009B0FA9">
        <w:rPr>
          <w:i/>
        </w:rPr>
        <w:t>in-fans</w:t>
      </w:r>
      <w:r w:rsidRPr="009B0FA9">
        <w:t xml:space="preserve"> meaning “to be unable or unwilling to speak, to be silent or speechless.” Although tied to the figure of the infant child as one who cannot speak, Agamben is careful to emphasize that “in-fancy is not a simple given whose chronological site might be isolated, nor is it like an age or psychosomatic state which a psychology or a paleo-anthropology could construct as a human fact independent of language” (1993: 4). The archaic meaning of infancy points beyond the term’s indication of a developmental stage and toward its revelation of the contingent character of human speech. Unlike the “natural voice” of non-human animals, human infants do not have a given voice. According to Agamben, “animals are not in fact denied language; on the contrary, they are always and totally language. In them </w:t>
      </w:r>
      <w:r w:rsidRPr="009B0FA9">
        <w:rPr>
          <w:i/>
        </w:rPr>
        <w:t xml:space="preserve">la voix sacrée de la terre ingénue </w:t>
      </w:r>
      <w:r w:rsidRPr="009B0FA9">
        <w:t>(the sacred voice of the unknowing earth) … knows no breaks or interruptions. Animals do not enter language, they are already inside it” (1993: 59). By contrast, the human “wordless” experience of infancy is an ontological break or interruption that conditions the possibility of speech. Coexisting with a language that appropriates it “in each instance to produce the individual as subject,” infancy is a mute undergoing constitutive of the (human) speaking subject (55). To speak is to be appropriated by language and alienated from infancy, not as a developmental trauma but as an ontological condition carried within every act of speech (Mills, 2005: 23).</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If infancy is a kind of muteness internal to the act of speaking, Agamben is careful to distinguish it from a muteness exclusively included from the act of speaking.  In order to counter the movement of machination, Agamben emphasizes that infancy is a kind of “not not speaking” that “touches” the “thing itself” of language. Speechless but not without relation to language, infancy reflects a “pure” experience of language itself without speech. Here Agamben maintains that </w:t>
      </w:r>
      <w:r w:rsidRPr="009B0FA9">
        <w:rPr>
          <w:i/>
        </w:rPr>
        <w:t>langue</w:t>
      </w:r>
      <w:r w:rsidRPr="009B0FA9">
        <w:t xml:space="preserve"> has an anonymous and pre-suppositional character with respect to </w:t>
      </w:r>
      <w:r w:rsidRPr="009B0FA9">
        <w:rPr>
          <w:i/>
        </w:rPr>
        <w:t>parole</w:t>
      </w:r>
      <w:r w:rsidRPr="009B0FA9">
        <w:t xml:space="preserve">; speech presupposes that there is language and language is presupposed in everything that is said. As Daniel Heller-Roazen puts it, “preceding and exceeding every proposition is not something unsayable and ineffable but, rather, an event presupposed in every utterance, a </w:t>
      </w:r>
      <w:r w:rsidRPr="009B0FA9">
        <w:rPr>
          <w:i/>
        </w:rPr>
        <w:t>factum linguae</w:t>
      </w:r>
      <w:r w:rsidRPr="009B0FA9">
        <w:t xml:space="preserve"> to which all actual speech necessarily bears witness” (Heller-Roazen, 1999: 4). When infancy “touches” the “thing itself” of language it touches not an ineffable or removed thing behind </w:t>
      </w:r>
      <w:r w:rsidRPr="009B0FA9">
        <w:rPr>
          <w:i/>
        </w:rPr>
        <w:t>langue</w:t>
      </w:r>
      <w:r w:rsidRPr="009B0FA9">
        <w:t>. For Agamben, “the thing itself is not a thing; it is the very sayability, the very openness at issue in language, which, in language, we always presuppose and forget” (1999: 35). To touch or engage the thing itself is not to encounter the site of an inclusive exclusion but rather the site of potentiality as sayability.</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Agamben’s account of potentiality is central to his claim that “not not speaking” opens infancy unto pure potentiality rather than violent indeterminacy. Drawn from an idiosyncratic reading of Aristotle’s </w:t>
      </w:r>
      <w:r w:rsidRPr="009B0FA9">
        <w:rPr>
          <w:i/>
        </w:rPr>
        <w:t>Metaphysics</w:t>
      </w:r>
      <w:r w:rsidRPr="009B0FA9">
        <w:t xml:space="preserve">, for Agamben, the essence of potentiality is maintained in relation to privation. “To be potential means: to be one’s own lack, </w:t>
      </w:r>
      <w:r w:rsidRPr="009B0FA9">
        <w:rPr>
          <w:i/>
        </w:rPr>
        <w:t>to be in relation to one’s own incapacity</w:t>
      </w:r>
      <w:r w:rsidRPr="009B0FA9">
        <w:t xml:space="preserve">. Beings that exist in the mode of potentiality </w:t>
      </w:r>
      <w:r w:rsidRPr="009B0FA9">
        <w:rPr>
          <w:i/>
        </w:rPr>
        <w:t>are capable of their own impotentiality</w:t>
      </w:r>
      <w:r w:rsidRPr="009B0FA9">
        <w:t xml:space="preserve">; and only in this way do they become potential. They can be because they are in relation to their own non-Being” (Agamben, 1999: 183). If potentiality is maintained in relation to impotentiality, the capacity of speech maintains itself in relation to the incapacity of speech. So described, potentiality provides the metaphysical structure for Agamben’s claim that every act of speaking maintains a relation to time without speech (infancy) and vice versa. In effect, the double negation “not not speaking” defines infancy through the thought of the persistent relation of potential and impotential. With respect to actuality, then, Agamben claims that potentiality “does not disappear in actuality; on the contrary, it preserves itself as such in actuality … potentiality, so to speak, survives actuality and, in this way, </w:t>
      </w:r>
      <w:r w:rsidRPr="009B0FA9">
        <w:rPr>
          <w:i/>
        </w:rPr>
        <w:t>gives itself to itself</w:t>
      </w:r>
      <w:r w:rsidRPr="009B0FA9">
        <w:t xml:space="preserve">” (1999: 184). Where traditional metaphysics introduces the negative, the threat of nullification between actuality and potentiality, Agamben finds a persistent relation. Daniel Heller-Roazen describes the “gift of itself to itself” in terms that emphasize, again, a double negation </w:t>
      </w:r>
    </w:p>
    <w:p w:rsidR="002D463E" w:rsidRDefault="002D463E" w:rsidP="002D463E">
      <w:pPr>
        <w:tabs>
          <w:tab w:val="left" w:pos="720"/>
        </w:tabs>
        <w:ind w:left="720" w:right="720"/>
        <w:contextualSpacing/>
      </w:pPr>
    </w:p>
    <w:p w:rsidR="002D463E" w:rsidRPr="009B0FA9" w:rsidRDefault="002D463E" w:rsidP="002D463E">
      <w:pPr>
        <w:tabs>
          <w:tab w:val="left" w:pos="720"/>
        </w:tabs>
        <w:ind w:left="720" w:right="720"/>
        <w:contextualSpacing/>
      </w:pPr>
      <w:r w:rsidRPr="009B0FA9">
        <w:t xml:space="preserve">at this point, actuality reveals itself to be simply a potential not to be (or do) turned back upon itself, capable of </w:t>
      </w:r>
      <w:r w:rsidRPr="009B0FA9">
        <w:rPr>
          <w:i/>
        </w:rPr>
        <w:t xml:space="preserve">not </w:t>
      </w:r>
      <w:r w:rsidRPr="009B0FA9">
        <w:t>not being and, in this way, of granting the existence of what is actuality … in the movement of the ‘gift of itself to itself,’ potentiality and actuality, what is capable and what is actual, what is possible and what is real, can no longer strictly be distinguished. (Heller-Roazen, 1998: 18)</w:t>
      </w:r>
    </w:p>
    <w:p w:rsidR="002D463E" w:rsidRPr="009B0FA9" w:rsidRDefault="002D463E" w:rsidP="002D463E">
      <w:pPr>
        <w:tabs>
          <w:tab w:val="left" w:pos="720"/>
        </w:tabs>
        <w:ind w:left="720" w:right="720"/>
        <w:contextualSpacing/>
      </w:pPr>
    </w:p>
    <w:p w:rsidR="002D463E" w:rsidRPr="009B0FA9" w:rsidRDefault="002D463E" w:rsidP="002D463E">
      <w:pPr>
        <w:tabs>
          <w:tab w:val="left" w:pos="720"/>
        </w:tabs>
        <w:contextualSpacing/>
      </w:pPr>
      <w:r w:rsidRPr="009B0FA9">
        <w:t xml:space="preserve">Potentiality is not exhausted or extinguished in actuality. Understood as a potentiality “turned back on itself,” actuality maintains a relation to potentiality that “survives” and “preserves itself.” Agamben’s account of infancy extends this thought in order to disengage the potential to speak from inclusive exclusion to affirm sayability instead of ineffability. Infancy is not exhausted in speaking but rather speaking is infancy “giving itself to itself.”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Supported by this account of potentiality, infancy describes an experience of language that is persistently related to sayability rather than silencing. Instead of “placing muteness outside itself” and conserving a mute animal other in its heart, the logic of infancy maintains a relation to a muteness or “not not speaking” </w:t>
      </w:r>
      <w:r w:rsidRPr="009B0FA9">
        <w:rPr>
          <w:i/>
        </w:rPr>
        <w:t>as</w:t>
      </w:r>
      <w:r w:rsidRPr="009B0FA9">
        <w:t xml:space="preserve"> potentiality. However, if Agamben suggests that infantile experiences of language take place beyond the logic of the anthropological machine, it is noteworthy that these experiences appear strikingly self-relational. The relations of potentiality enumerated above are in each case relations of “one’s own”—“beings that exist in the mode of potentiality are capable of</w:t>
      </w:r>
      <w:r w:rsidRPr="009B0FA9">
        <w:rPr>
          <w:i/>
        </w:rPr>
        <w:t xml:space="preserve"> their own </w:t>
      </w:r>
      <w:r w:rsidRPr="009B0FA9">
        <w:t xml:space="preserve">impotentiality,” potentiality “preserves </w:t>
      </w:r>
      <w:r w:rsidRPr="009B0FA9">
        <w:rPr>
          <w:i/>
        </w:rPr>
        <w:t>itself</w:t>
      </w:r>
      <w:r w:rsidRPr="009B0FA9">
        <w:t xml:space="preserve"> in actuality” “giving itself to itself,” “turning back on itself” (1999: 182-183). The figure of the </w:t>
      </w:r>
      <w:r w:rsidRPr="009B0FA9">
        <w:rPr>
          <w:i/>
        </w:rPr>
        <w:t>axolotl</w:t>
      </w:r>
      <w:r w:rsidRPr="009B0FA9">
        <w:t xml:space="preserve"> also embodies the infancy’s auto-relational dimensions. When held in contrast with other theories of infantile dependency and embodied vulnerability, the </w:t>
      </w:r>
      <w:r w:rsidRPr="009B0FA9">
        <w:rPr>
          <w:i/>
        </w:rPr>
        <w:t xml:space="preserve">axolotl </w:t>
      </w:r>
      <w:r w:rsidRPr="009B0FA9">
        <w:t>marks Agamben’s strange disconnection of potentiality from relations-with-others, in particular maternal and non-human animal others.</w:t>
      </w:r>
    </w:p>
    <w:p w:rsidR="002D463E" w:rsidRPr="009B0FA9" w:rsidRDefault="002D463E" w:rsidP="002D463E">
      <w:pPr>
        <w:tabs>
          <w:tab w:val="left" w:pos="720"/>
        </w:tabs>
        <w:contextualSpacing/>
      </w:pPr>
    </w:p>
    <w:p w:rsidR="002D463E" w:rsidRPr="009B0FA9" w:rsidRDefault="002D463E" w:rsidP="005E2315">
      <w:pPr>
        <w:pStyle w:val="Heading3"/>
      </w:pPr>
      <w:r w:rsidRPr="009B0FA9">
        <w:t>The Axolotl: Infancy and In/dependence</w:t>
      </w:r>
    </w:p>
    <w:p w:rsidR="002D463E" w:rsidRPr="009B0FA9" w:rsidRDefault="002D463E" w:rsidP="002D463E">
      <w:pPr>
        <w:tabs>
          <w:tab w:val="left" w:pos="720"/>
        </w:tabs>
        <w:contextualSpacing/>
        <w:rPr>
          <w:b/>
        </w:rPr>
      </w:pPr>
    </w:p>
    <w:p w:rsidR="002D463E" w:rsidRPr="009B0FA9" w:rsidRDefault="002D463E" w:rsidP="002D463E">
      <w:pPr>
        <w:tabs>
          <w:tab w:val="left" w:pos="720"/>
        </w:tabs>
        <w:contextualSpacing/>
      </w:pPr>
      <w:r w:rsidRPr="009B0FA9">
        <w:t xml:space="preserve">Agamben takes a recurrent interest in the </w:t>
      </w:r>
      <w:r w:rsidRPr="009B0FA9">
        <w:rPr>
          <w:i/>
        </w:rPr>
        <w:t>axolotl</w:t>
      </w:r>
      <w:r w:rsidRPr="009B0FA9">
        <w:t xml:space="preserve">, an amphibian native to the freshwater lakes of Mexico, because of its “stubborn infantilism” or neoteny (1995: 95). While other amphibians lose juvenile traits in order to develop adult traits, the </w:t>
      </w:r>
      <w:r w:rsidRPr="009B0FA9">
        <w:rPr>
          <w:i/>
        </w:rPr>
        <w:t>axolotl</w:t>
      </w:r>
      <w:r w:rsidRPr="009B0FA9">
        <w:t xml:space="preserve"> maintains juvenile gills throughout its maturation. According to Agamben, insights drawn from the life of the </w:t>
      </w:r>
      <w:r w:rsidRPr="009B0FA9">
        <w:rPr>
          <w:i/>
        </w:rPr>
        <w:t xml:space="preserve">axolotl </w:t>
      </w:r>
      <w:r w:rsidRPr="009B0FA9">
        <w:t xml:space="preserve">have helped revise understandings of human evolution. Humans are now said to evolve, not from individual adult primates but from a young primate with premature reproductive capacities (Agamben, 1995). Thus, “traits that are transitory in primates have in humans become definitive, somehow bringing to pass, in flesh and bone, the type of the eternal child” (Agamben, 1995: 96). Drawing on the </w:t>
      </w:r>
      <w:r w:rsidRPr="009B0FA9">
        <w:rPr>
          <w:i/>
        </w:rPr>
        <w:t>axolotl</w:t>
      </w:r>
      <w:r w:rsidRPr="009B0FA9">
        <w:t>’s stubborn infantilism, Agamben proceeds to imagine this eternal child as “abandoned to its own state of infancy, and so little specialized and so totipotent that it rejects any specific destiny and any determined environment in order to hold onto its immaturity and helplessness” (1995, 96). Unbound from and undetermined by any destiny or environ, the neotenic child is thrown into “the pre-eminent setting of the possible [</w:t>
      </w:r>
      <w:r w:rsidRPr="009B0FA9">
        <w:rPr>
          <w:i/>
        </w:rPr>
        <w:t>possibile</w:t>
      </w:r>
      <w:r w:rsidRPr="009B0FA9">
        <w:t>] and of the potential [</w:t>
      </w:r>
      <w:r w:rsidRPr="009B0FA9">
        <w:rPr>
          <w:i/>
        </w:rPr>
        <w:t>potenziale</w:t>
      </w:r>
      <w:r w:rsidRPr="009B0FA9">
        <w:t>] … What characterizes the infant is that it is its own potentiality [</w:t>
      </w:r>
      <w:r w:rsidRPr="009B0FA9">
        <w:rPr>
          <w:i/>
        </w:rPr>
        <w:t>potenza</w:t>
      </w:r>
      <w:r w:rsidRPr="009B0FA9">
        <w:t>], it lives its own possibility [</w:t>
      </w:r>
      <w:r w:rsidRPr="009B0FA9">
        <w:rPr>
          <w:i/>
        </w:rPr>
        <w:t>possibilità</w:t>
      </w:r>
      <w:r w:rsidRPr="009B0FA9">
        <w:t xml:space="preserve">]” (2001: 121). </w:t>
      </w:r>
      <w:r w:rsidRPr="009B0FA9">
        <w:rPr>
          <w:i/>
        </w:rPr>
        <w:t>Axolotl</w:t>
      </w:r>
      <w:r w:rsidRPr="009B0FA9">
        <w:t xml:space="preserve">-inspired infancy is shot through with a potentiality that it gives to itself, being and living its own </w:t>
      </w:r>
      <w:r w:rsidRPr="009B0FA9">
        <w:rPr>
          <w:i/>
        </w:rPr>
        <w:t>potenza</w:t>
      </w:r>
      <w:r w:rsidRPr="009B0FA9">
        <w:t xml:space="preserve"> and </w:t>
      </w:r>
      <w:r w:rsidRPr="009B0FA9">
        <w:rPr>
          <w:i/>
        </w:rPr>
        <w:t>possibilita</w:t>
      </w:r>
      <w:r w:rsidRPr="009B0FA9">
        <w:t xml:space="preserve">.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While the child is a common figure of dependency on others, Agamben’s eternal-child appears, in a hyperbolic self-relational fashion, to be independent. As a contrast, the relationality of infancy might be considered alongside Judith Butler and Julia Kristeva’s recent writings on “vulnerability.” Introduced in her important text </w:t>
      </w:r>
      <w:r w:rsidRPr="009B0FA9">
        <w:rPr>
          <w:i/>
        </w:rPr>
        <w:t>Precarious Life</w:t>
      </w:r>
      <w:r w:rsidRPr="009B0FA9">
        <w:t xml:space="preserve">, Butler’s notion of “primary vulnerability” describes the infantile “condition of being laid bare from the start,” of being “given over to the touch of the other” (Butler, 2004: 31-32). For Butler, primary vulnerability is an experience of exposure that reflects and conditions social attachments; “without seeing how this primary condition is exploited and exploitable, thwarted and denied … it would be difficult, if not impossible, to understand how humans suffer from oppression” (Butler, 2004: 32). In </w:t>
      </w:r>
      <w:r w:rsidRPr="009B0FA9">
        <w:rPr>
          <w:i/>
        </w:rPr>
        <w:t>La haine et le pardon</w:t>
      </w:r>
      <w:r w:rsidRPr="009B0FA9">
        <w:t>, Kristeva outlines an alternative relational vulnerability, one that is sited in the specifically</w:t>
      </w:r>
      <w:r w:rsidRPr="009B0FA9">
        <w:rPr>
          <w:i/>
        </w:rPr>
        <w:t xml:space="preserve"> speaking</w:t>
      </w:r>
      <w:r w:rsidRPr="009B0FA9">
        <w:t xml:space="preserve"> body (Kristeva, 2005). According to Kristeva, vulnerability lies in the “crossroad” of “biology/language” and is “integral to the identity of the human species and the singularity of the speaking subject” (113). Failing to acknowledge the vulnerable junction of bodies and words encourages “rejections caused by race, social origin or religious differences [that have] taken over the place once occupied by charity” (114-116). Kristeva claims that vulnerability is the absent fourth term of Enlightenment humanism, that it “inflects” liberty, equality, and fraternity “towards a concern for sharing.”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Agamben’s auto-relational </w:t>
      </w:r>
      <w:r w:rsidRPr="009B0FA9">
        <w:rPr>
          <w:i/>
        </w:rPr>
        <w:t>in</w:t>
      </w:r>
      <w:r w:rsidRPr="009B0FA9">
        <w:t xml:space="preserve">dependent infancy appears to be an inversion of Butler and Kristeva’s accounts of relational dependent vulnerability. In denying or thwarting that condition, Agamben performs exclusions that both Butler and Kristeva link to its disavowal. Abstracted from exposure to others, the </w:t>
      </w:r>
      <w:r w:rsidRPr="009B0FA9">
        <w:rPr>
          <w:i/>
        </w:rPr>
        <w:t>axolotl</w:t>
      </w:r>
      <w:r w:rsidRPr="009B0FA9">
        <w:t xml:space="preserve">-inspired eternal child is disconnected from the social attachments and losses of others. In fact Agamben’s only mention of infantile relations-with-others is a reference to the “vain” misguided project of parenting. There Agamben claims that, because the child “risks its whole life” in play, “it is in vain that grown-ups attempt to check this immediate coincidence of the child’s life and possibility, confining it to limited times and places: the nursery, codified games, playtime, and fairy-tales” (1996). More dramatically, Agamben maintains that the child “escapes” vulnerable exposure and the threat of violence because </w:t>
      </w:r>
    </w:p>
    <w:p w:rsidR="002D463E" w:rsidRDefault="002D463E" w:rsidP="002D463E">
      <w:pPr>
        <w:tabs>
          <w:tab w:val="left" w:pos="720"/>
        </w:tabs>
        <w:ind w:left="720" w:right="720"/>
        <w:contextualSpacing/>
        <w:rPr>
          <w:i/>
        </w:rPr>
      </w:pPr>
    </w:p>
    <w:p w:rsidR="002D463E" w:rsidRPr="009B0FA9" w:rsidRDefault="002D463E" w:rsidP="002D463E">
      <w:pPr>
        <w:tabs>
          <w:tab w:val="left" w:pos="720"/>
        </w:tabs>
        <w:ind w:left="720" w:right="720"/>
        <w:contextualSpacing/>
      </w:pPr>
      <w:r w:rsidRPr="009B0FA9">
        <w:rPr>
          <w:i/>
        </w:rPr>
        <w:t>it adheres so closely to its physiological life that it becomes indiscernible from it</w:t>
      </w:r>
      <w:r w:rsidRPr="009B0FA9">
        <w:t>. (This is the true sense of the experiment on the possible that we mentioned earlier.) Similar in this respect to a woman’s life, the life of a child is ungraspable, not because it transcends toward an other world, but because it adheres to this world and to its body in a way that adults find intolerable. (Agamben, 1996)</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A disturbing reduction of children and women to physiological life, Agamben’s comments illustrate the violence of figuring infancy as auto-relational and </w:t>
      </w:r>
      <w:r w:rsidRPr="009B0FA9">
        <w:rPr>
          <w:i/>
        </w:rPr>
        <w:t>in</w:t>
      </w:r>
      <w:r w:rsidRPr="009B0FA9">
        <w:t xml:space="preserve">dependent. By figuring the child as in a certain sense its own mother, Agamben obscures the child’s dependent relation to others yet reveals its dependence on maternal sacrifice. In effect, his remarks make clear how the reduction of relations to auto-relations supports the reduction of woman and child to ungraspable physiology </w:t>
      </w:r>
      <w:r w:rsidRPr="009B0FA9">
        <w:rPr>
          <w:i/>
        </w:rPr>
        <w:t>and vice versa</w:t>
      </w:r>
      <w:r w:rsidRPr="009B0FA9">
        <w:t xml:space="preserve">.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Following Agamben’s own conflations, we might wonder what would happen if the figure of the child were read systematically as the figure of the woman, if infancy were, in each case, substituted with maternity. Maternity is involved in language development; early maternal relations support the development of symbolic capacities and are preserved in the act of speaking. Further, giving birth involves a movement of potentiality. For instance, while Agamben describes the infant’s potentiality as “totipotent,” actual totipotent cells develop only in the maternal body, after cell fertilization and before the development of the zygote into specialized multi- or pluri-potent cells; in a process that can be described as maternity “giving itself to itself,” totipotent cells produce not only the fetus but also placental and other extra-embryonic cells. Such translations of infancy into maternity are simple if not straightforward because, in Agamben’s text, the child is already a mother-child and the mother already a child-mother. Part of the ontological and evolutionary story of Agamben’s infancy, the </w:t>
      </w:r>
      <w:r w:rsidRPr="009B0FA9">
        <w:rPr>
          <w:i/>
        </w:rPr>
        <w:t>axolotl</w:t>
      </w:r>
      <w:r w:rsidRPr="009B0FA9">
        <w:t xml:space="preserve"> is an eternal child that can also give birth, the animal coincidence of mother and infant that challenges attempts to fully distinguish one from the other. Given the kind of indeterminacy easily set into motion between woman and child, it seems that maternity is included in Agamben’s concept of infancy by way of exclusion, the very operation that the infantile experience of language was to overcome. The </w:t>
      </w:r>
      <w:r w:rsidRPr="009B0FA9">
        <w:rPr>
          <w:i/>
        </w:rPr>
        <w:t>in</w:t>
      </w:r>
      <w:r w:rsidRPr="009B0FA9">
        <w:t xml:space="preserve">dependence and auto-relational character of infancy emerges (and unravels) only by the child’s dependent relation to the mother’s mute inclusive exclusion. </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Having already read infancy as maternity we might also wonder what would happen if infancy were read as </w:t>
      </w:r>
      <w:r w:rsidRPr="009B0FA9">
        <w:rPr>
          <w:i/>
        </w:rPr>
        <w:t>animality</w:t>
      </w:r>
      <w:r w:rsidRPr="009B0FA9">
        <w:t xml:space="preserve">, the child as the </w:t>
      </w:r>
      <w:r w:rsidRPr="009B0FA9">
        <w:rPr>
          <w:i/>
        </w:rPr>
        <w:t>animal</w:t>
      </w:r>
      <w:r w:rsidRPr="009B0FA9">
        <w:t xml:space="preserve">. This reading involves a consideration of the </w:t>
      </w:r>
      <w:r w:rsidRPr="009B0FA9">
        <w:rPr>
          <w:i/>
        </w:rPr>
        <w:t>axolotl</w:t>
      </w:r>
      <w:r w:rsidRPr="009B0FA9">
        <w:t xml:space="preserve">’s simultaneous status as a real animal and as a metaphor of infancy. An eternal child and a non-human animal, the </w:t>
      </w:r>
      <w:r w:rsidRPr="009B0FA9">
        <w:rPr>
          <w:i/>
        </w:rPr>
        <w:t>axolotl</w:t>
      </w:r>
      <w:r w:rsidRPr="009B0FA9">
        <w:t xml:space="preserve">, contradictorily, does “not not speak” and yet it is “always already inside language.” Taken as a real amphibian, the </w:t>
      </w:r>
      <w:r w:rsidRPr="009B0FA9">
        <w:rPr>
          <w:i/>
        </w:rPr>
        <w:t>axolotl</w:t>
      </w:r>
      <w:r w:rsidRPr="009B0FA9">
        <w:t xml:space="preserve"> is exposed to the violence of the anthropological machine even in Agamben’s own texts. Agamben’s (</w:t>
      </w:r>
      <w:r w:rsidRPr="009B0FA9">
        <w:rPr>
          <w:i/>
        </w:rPr>
        <w:t>axolotl</w:t>
      </w:r>
      <w:r w:rsidRPr="009B0FA9">
        <w:t xml:space="preserve">-inspired) evolutionary hypothesis claims that humans developed from young primates with premature reproductive capacities. For Agamben, the hypothesis supports his account of infancy not only as an approach to language but also as an approach to the “entire sphere of the exosomatic tradition which, more than any genetic imprint, characterizes </w:t>
      </w:r>
      <w:r w:rsidRPr="009B0FA9">
        <w:rPr>
          <w:i/>
        </w:rPr>
        <w:t>homo sapiens</w:t>
      </w:r>
      <w:r w:rsidRPr="009B0FA9">
        <w:t>” (Agamben, 1995: 96). Linking the somatic to “genetic prescription and the exosomatic to totipotent potentiality, he proceeds to claim that “animals are not concerned with possibilities of their soma that are not inscribed in the germen … they pay no attention to that which is mortal … and they develop only the infinitely repeatable possibilities fixed in the genetic code” (96).</w:t>
      </w:r>
    </w:p>
    <w:p w:rsidR="002D463E" w:rsidRPr="009B0FA9" w:rsidRDefault="002D463E" w:rsidP="002D463E">
      <w:pPr>
        <w:tabs>
          <w:tab w:val="left" w:pos="720"/>
        </w:tabs>
        <w:contextualSpacing/>
      </w:pPr>
    </w:p>
    <w:p w:rsidR="002D463E" w:rsidRPr="009B0FA9" w:rsidRDefault="002D463E" w:rsidP="002D463E">
      <w:pPr>
        <w:tabs>
          <w:tab w:val="left" w:pos="720"/>
        </w:tabs>
        <w:contextualSpacing/>
      </w:pPr>
      <w:r w:rsidRPr="009B0FA9">
        <w:t xml:space="preserve">In light of the machinations of Agamben’s false dichotomies (soma/exosoma, genetic determinism and totipotent potentiality) and the violence they inflict on the </w:t>
      </w:r>
      <w:r w:rsidRPr="009B0FA9">
        <w:rPr>
          <w:i/>
        </w:rPr>
        <w:t>axolotl</w:t>
      </w:r>
      <w:r w:rsidRPr="009B0FA9">
        <w:t xml:space="preserve">, it appears that infancy inclusively excludes animality as well as maternity. In general, one should be wary of any picture of </w:t>
      </w:r>
      <w:r w:rsidRPr="009B0FA9">
        <w:rPr>
          <w:i/>
        </w:rPr>
        <w:t>homo sapiens</w:t>
      </w:r>
      <w:r w:rsidRPr="009B0FA9">
        <w:t xml:space="preserve"> so wholly detached from the somatic sphere and genetic imprints.</w:t>
      </w:r>
      <w:r w:rsidRPr="009B0FA9">
        <w:rPr>
          <w:rStyle w:val="FootnoteReference"/>
        </w:rPr>
        <w:footnoteReference w:id="60"/>
      </w:r>
      <w:r w:rsidRPr="009B0FA9">
        <w:t xml:space="preserve"> Whether supported by crude dichotomies or more insidious procedures, auto-relational infancy appears to drive rather than jam the anthropological machine. According to Agamben, “only on the day when the original infantile openness is truly, dizzyingly taken up as such … will men be able finally to construct a history and language which are universal and no longer deferrable, and stop their wandering through traditions” (1995: 98). But the multiplying voices of infancy’s inclusive exclusion—child-mothers, animal-mothers, animal-children—suggest only a deferral that is itself dizzying. </w:t>
      </w:r>
    </w:p>
    <w:p w:rsidR="002D463E" w:rsidRPr="009B0FA9" w:rsidRDefault="002D463E" w:rsidP="002D463E">
      <w:pPr>
        <w:contextualSpacing/>
      </w:pPr>
    </w:p>
    <w:p w:rsidR="002D463E" w:rsidRPr="009B0FA9" w:rsidRDefault="002D463E" w:rsidP="005E2315">
      <w:pPr>
        <w:pStyle w:val="Heading3"/>
      </w:pPr>
      <w:r w:rsidRPr="009B0FA9">
        <w:t>Conclusion: Agamben and the Question of the Animal</w:t>
      </w:r>
    </w:p>
    <w:p w:rsidR="002D463E" w:rsidRPr="009B0FA9" w:rsidRDefault="002D463E" w:rsidP="002D463E">
      <w:pPr>
        <w:contextualSpacing/>
      </w:pPr>
    </w:p>
    <w:p w:rsidR="002D463E" w:rsidRPr="009B0FA9" w:rsidRDefault="002D463E" w:rsidP="002D463E">
      <w:pPr>
        <w:contextualSpacing/>
      </w:pPr>
      <w:r w:rsidRPr="009B0FA9">
        <w:t xml:space="preserve">Agamben’s notion of infancy is rarely read alongside his theory of the anthropological machine, yet these analyses would appear, at first glance, to bring readers to a familiar place: a simple recognition of Agamben’s (long acknowledged) anthrocentrism and (less acknowledged) androcentrism. In a widely read article, Matthew Calarco has criticized Agamben for modeling his radical politics on human figures alone (Calarco, 2000). Gesturing to the </w:t>
      </w:r>
      <w:r w:rsidRPr="009B0FA9">
        <w:rPr>
          <w:i/>
        </w:rPr>
        <w:t xml:space="preserve">Language and Death </w:t>
      </w:r>
      <w:r w:rsidRPr="009B0FA9">
        <w:t xml:space="preserve">as well as </w:t>
      </w:r>
      <w:r w:rsidRPr="009B0FA9">
        <w:rPr>
          <w:i/>
        </w:rPr>
        <w:t>The Open</w:t>
      </w:r>
      <w:r w:rsidRPr="009B0FA9">
        <w:t>, Calarco queries after Agamben’s anthrocentrism:</w:t>
      </w:r>
    </w:p>
    <w:p w:rsidR="002D463E" w:rsidRDefault="002D463E" w:rsidP="002D463E">
      <w:pPr>
        <w:ind w:left="720" w:right="720"/>
        <w:contextualSpacing/>
      </w:pPr>
    </w:p>
    <w:p w:rsidR="002D463E" w:rsidRPr="009B0FA9" w:rsidRDefault="002D463E" w:rsidP="002D463E">
      <w:pPr>
        <w:ind w:left="720" w:right="720"/>
        <w:contextualSpacing/>
      </w:pPr>
      <w:r w:rsidRPr="009B0FA9">
        <w:t xml:space="preserve">If one accepts Agamben’s argument that man’s essence is not to be found in his experience of language and death as such, then does not the displacement of man’s essence simultaneously work to disrupt the strict binary that excludes the animal from man’s essence? … if man’s proper essence and the ground for human community can no longer be found in an experience of language and death </w:t>
      </w:r>
      <w:r w:rsidRPr="009B0FA9">
        <w:rPr>
          <w:i/>
        </w:rPr>
        <w:t>as such</w:t>
      </w:r>
      <w:r w:rsidRPr="009B0FA9">
        <w:t>, then how can a thought of another coming community not lead to a rethinking of the place of animals in community? (Calarco, 2000: 96)</w:t>
      </w:r>
    </w:p>
    <w:p w:rsidR="002D463E" w:rsidRPr="009B0FA9" w:rsidRDefault="002D463E" w:rsidP="002D463E">
      <w:pPr>
        <w:ind w:right="720"/>
        <w:contextualSpacing/>
      </w:pPr>
    </w:p>
    <w:p w:rsidR="002D463E" w:rsidRPr="009B0FA9" w:rsidRDefault="002D463E" w:rsidP="002D463E">
      <w:pPr>
        <w:contextualSpacing/>
      </w:pPr>
      <w:r w:rsidRPr="009B0FA9">
        <w:t xml:space="preserve">Agamben’s withdrawal from the “question of the animal” is, for Calarco, a missed opportunity to rethink the place of animals in community beyond violent logics of mute inclusion/exclusion. However, in light of the dizzying reading of infancy and its others provided above, a stronger reproach of Agamben is in order. As a new figure and experience of language, infancy does not simply forego the “question of the animal” as much as it renders a more expansive and non-violent response to that question more difficult to achieve. </w:t>
      </w:r>
    </w:p>
    <w:p w:rsidR="002D463E" w:rsidRPr="009B0FA9" w:rsidRDefault="002D463E" w:rsidP="002D463E">
      <w:pPr>
        <w:contextualSpacing/>
      </w:pPr>
    </w:p>
    <w:p w:rsidR="002D463E" w:rsidRPr="009B0FA9" w:rsidRDefault="002D463E" w:rsidP="002D463E">
      <w:pPr>
        <w:contextualSpacing/>
      </w:pPr>
      <w:r w:rsidRPr="009B0FA9">
        <w:t xml:space="preserve">Understood as a dependent and relational foil to Agamben’s infancy, Butler and Kristeva’s notion of vulnerability would seem apt resources for alternatives to infancy; vulnerability marks the exposure of the (speaking) body, a condition ineluctably given over to, rather than inclusively exclusive of, others. Careful not to collapse vulnerability and maternity, both authors discuss the dependence of infants on maternal others and early caregivers. Butler writes of newborns “abandoned” to “primary others” in virtue of “bodily requirements” and, throughout her work, Kristeva emphasizes maternal support of symbolic development; the </w:t>
      </w:r>
      <w:r w:rsidRPr="009B0FA9">
        <w:rPr>
          <w:i/>
        </w:rPr>
        <w:t>chora</w:t>
      </w:r>
      <w:r w:rsidRPr="009B0FA9">
        <w:t xml:space="preserve"> (where Agamben anchors phonemic passage to the human child) is, in the Kristevan text, linked to maternal semiotic conditions of language. However, while the relational character of vulnerability extends to maternal others, it does not extend, for either theorist, to non-human animal others. In her recent text </w:t>
      </w:r>
      <w:r w:rsidRPr="009B0FA9">
        <w:rPr>
          <w:i/>
        </w:rPr>
        <w:t>Animal Lessons</w:t>
      </w:r>
      <w:r w:rsidRPr="009B0FA9">
        <w:t>, Kelly Oliver challenges Butler and Kristeva’s failure to consider non-human animals as embodied, mortal beings capable of being wounded or wounding others. In a query that runs parallel to Calarco’s critique of Agamben, Oliver asks:</w:t>
      </w:r>
    </w:p>
    <w:p w:rsidR="002D463E" w:rsidRDefault="002D463E" w:rsidP="002D463E">
      <w:pPr>
        <w:ind w:left="720" w:right="720"/>
        <w:contextualSpacing/>
      </w:pPr>
    </w:p>
    <w:p w:rsidR="002D463E" w:rsidRPr="009B0FA9" w:rsidRDefault="002D463E" w:rsidP="002D463E">
      <w:pPr>
        <w:ind w:left="720" w:right="720"/>
        <w:contextualSpacing/>
      </w:pPr>
      <w:r w:rsidRPr="009B0FA9">
        <w:t>Once we take bodily vulnerability—which is to say the fact that we are mortal and can be wounded—as our starting point, are we delineating what constitutes humanity? Or are we setting out what constitutes all living creatures? And if we are relational, dependent beings by virtue of having bodies, then isn’t this also true of animals? Moreover, if we extend the notion of dependence in the way that Butler and Kristeva do to make it a cornerstone of ethics and politics, then aren’t we also obligated to consider the (material and conceptual) interdependence of humans and animals? (Oliver, 2009: 44)</w:t>
      </w:r>
    </w:p>
    <w:p w:rsidR="002D463E" w:rsidRPr="009B0FA9" w:rsidRDefault="002D463E" w:rsidP="002D463E">
      <w:pPr>
        <w:widowControl w:val="0"/>
        <w:autoSpaceDE w:val="0"/>
        <w:autoSpaceDN w:val="0"/>
        <w:adjustRightInd w:val="0"/>
      </w:pPr>
    </w:p>
    <w:p w:rsidR="002D463E" w:rsidRPr="009B0FA9" w:rsidRDefault="002D463E" w:rsidP="002D463E">
      <w:pPr>
        <w:widowControl w:val="0"/>
        <w:autoSpaceDE w:val="0"/>
        <w:autoSpaceDN w:val="0"/>
        <w:adjustRightInd w:val="0"/>
      </w:pPr>
      <w:r w:rsidRPr="009B0FA9">
        <w:t xml:space="preserve">Like Agamben’s account of infancy, Butler and Kristeva’s theories of vulnerability invite but do not require that we rethink the place of animals in community. Failing to “extend the notion of dependence” beyond the borders of the human, Butler and Kristeva “derealize” the shared embodiment of non-human animal others (Taylor, 2008). </w:t>
      </w:r>
    </w:p>
    <w:p w:rsidR="002D463E" w:rsidRPr="009B0FA9" w:rsidRDefault="002D463E" w:rsidP="002D463E">
      <w:pPr>
        <w:widowControl w:val="0"/>
        <w:autoSpaceDE w:val="0"/>
        <w:autoSpaceDN w:val="0"/>
        <w:adjustRightInd w:val="0"/>
      </w:pPr>
    </w:p>
    <w:p w:rsidR="002D463E" w:rsidRDefault="002D463E" w:rsidP="002D463E">
      <w:pPr>
        <w:widowControl w:val="0"/>
        <w:autoSpaceDE w:val="0"/>
        <w:autoSpaceDN w:val="0"/>
        <w:adjustRightInd w:val="0"/>
        <w:rPr>
          <w:rFonts w:cs="Times-Roman"/>
        </w:rPr>
      </w:pPr>
      <w:r w:rsidRPr="009B0FA9">
        <w:t xml:space="preserve">Following Calarco and Oliver’s comments and in light of Agamben’s </w:t>
      </w:r>
      <w:r w:rsidRPr="009B0FA9">
        <w:rPr>
          <w:i/>
        </w:rPr>
        <w:t>experimentum lingaue</w:t>
      </w:r>
      <w:r w:rsidRPr="009B0FA9">
        <w:t xml:space="preserve">, what comes of the deferral of voices and questions, animal and otherwise? In the case of Agamben, resources seem to lie in reflexive rather than jamming capacities of his thought. Calarco’s commitment that “the critical promise of Agamben’s thought is to be found in its ability to disrupt classical notions of human community” is substantiated by Agamben’s critique of the anthropological machine (Calarco, 2000: 96). While infancy falters in its pursuit of “a language and a history which are universal,” it nevertheless reflects the disruptive and radical thesis that language is “fabricated in piecemeal fashion from alien forms.” To carry out its critical promise, Agamben’s disruptive thesis must be engaged </w:t>
      </w:r>
      <w:r w:rsidRPr="009B0FA9">
        <w:rPr>
          <w:i/>
        </w:rPr>
        <w:t>and</w:t>
      </w:r>
      <w:r w:rsidRPr="009B0FA9">
        <w:t xml:space="preserve"> returned to his own texts. The reading of infancy above models such a reflexive critique. By pursuing the operation of inclusive exclusion and uncovering the mute inclusion of maternal and animal voices in the </w:t>
      </w:r>
      <w:r w:rsidRPr="009B0FA9">
        <w:rPr>
          <w:i/>
        </w:rPr>
        <w:t>axolotl</w:t>
      </w:r>
      <w:r w:rsidRPr="009B0FA9">
        <w:t xml:space="preserve">, Agamben’s own resources bring his thought to a limit he is unable to overcome. </w:t>
      </w:r>
      <w:r w:rsidRPr="009B0FA9">
        <w:rPr>
          <w:rFonts w:cs="Times-Roman"/>
        </w:rPr>
        <w:t>There, dizzying deferrals are, each time, opportunities to rethink and the limits of language and the production of the distinction between man and animal.</w:t>
      </w:r>
    </w:p>
    <w:p w:rsidR="002D463E" w:rsidRPr="009B0FA9" w:rsidRDefault="002D463E" w:rsidP="002D463E">
      <w:pPr>
        <w:widowControl w:val="0"/>
        <w:autoSpaceDE w:val="0"/>
        <w:autoSpaceDN w:val="0"/>
        <w:adjustRightInd w:val="0"/>
        <w:rPr>
          <w:rFonts w:cs="Times-Roman"/>
        </w:rPr>
      </w:pPr>
    </w:p>
    <w:p w:rsidR="002D463E" w:rsidRDefault="002D463E" w:rsidP="005E2315">
      <w:pPr>
        <w:pStyle w:val="Heading3"/>
      </w:pPr>
      <w:r>
        <w:t>References</w:t>
      </w:r>
    </w:p>
    <w:p w:rsidR="002D463E" w:rsidRDefault="002D463E" w:rsidP="002D463E">
      <w:pPr>
        <w:spacing w:line="480" w:lineRule="auto"/>
        <w:ind w:left="720" w:hanging="720"/>
        <w:contextualSpacing/>
      </w:pPr>
    </w:p>
    <w:p w:rsidR="002D463E" w:rsidRDefault="002D463E" w:rsidP="005E2315">
      <w:pPr>
        <w:pStyle w:val="References"/>
      </w:pPr>
      <w:r w:rsidRPr="00577CEB">
        <w:t xml:space="preserve">Agamben, </w:t>
      </w:r>
      <w:r>
        <w:t>G., (2001), “For a philosophy of infancy”, I</w:t>
      </w:r>
      <w:r w:rsidRPr="00577CEB">
        <w:t xml:space="preserve">n </w:t>
      </w:r>
      <w:r w:rsidRPr="00577CEB">
        <w:rPr>
          <w:i/>
        </w:rPr>
        <w:t>Public</w:t>
      </w:r>
      <w:r w:rsidRPr="00577CEB">
        <w:t xml:space="preserve"> (21)</w:t>
      </w:r>
      <w:r>
        <w:t>,</w:t>
      </w:r>
      <w:r w:rsidRPr="00577CEB">
        <w:t xml:space="preserve"> Accessed: </w:t>
      </w:r>
      <w:hyperlink r:id="rId59" w:history="1">
        <w:r w:rsidRPr="00577CEB">
          <w:rPr>
            <w:rStyle w:val="Hyperlink"/>
          </w:rPr>
          <w:t>http://www.yorku.ca/p</w:t>
        </w:r>
        <w:r w:rsidRPr="00577CEB">
          <w:rPr>
            <w:rStyle w:val="Hyperlink"/>
          </w:rPr>
          <w:t>u</w:t>
        </w:r>
        <w:r w:rsidRPr="00577CEB">
          <w:rPr>
            <w:rStyle w:val="Hyperlink"/>
          </w:rPr>
          <w:t>blic/public/backissu/v21_1.html</w:t>
        </w:r>
      </w:hyperlink>
      <w:r>
        <w:t>, pp. 120-122.</w:t>
      </w:r>
      <w:r w:rsidRPr="00577CEB">
        <w:t xml:space="preserve"> </w:t>
      </w:r>
    </w:p>
    <w:p w:rsidR="005E2315" w:rsidRPr="00577CEB" w:rsidRDefault="005E2315" w:rsidP="005E2315">
      <w:pPr>
        <w:pStyle w:val="References"/>
      </w:pPr>
    </w:p>
    <w:p w:rsidR="002D463E" w:rsidRDefault="002D463E" w:rsidP="005E2315">
      <w:pPr>
        <w:pStyle w:val="References"/>
      </w:pPr>
      <w:r>
        <w:t xml:space="preserve"> </w:t>
      </w:r>
      <w:r w:rsidRPr="00577CEB">
        <w:t xml:space="preserve">Agamben, </w:t>
      </w:r>
      <w:r>
        <w:t xml:space="preserve">G., (1993), </w:t>
      </w:r>
      <w:r w:rsidRPr="00577CEB">
        <w:rPr>
          <w:i/>
        </w:rPr>
        <w:t>Infancy and History: Essays on the Destruction of Experience</w:t>
      </w:r>
      <w:r w:rsidR="005E2315">
        <w:t xml:space="preserve">, London: </w:t>
      </w:r>
      <w:r>
        <w:t>Verso.</w:t>
      </w:r>
    </w:p>
    <w:p w:rsidR="005E2315" w:rsidRPr="00577CEB" w:rsidRDefault="005E2315" w:rsidP="005E2315">
      <w:pPr>
        <w:pStyle w:val="References"/>
      </w:pPr>
    </w:p>
    <w:p w:rsidR="002D463E" w:rsidRPr="00577CEB" w:rsidRDefault="002D463E" w:rsidP="005E2315">
      <w:pPr>
        <w:pStyle w:val="References"/>
      </w:pPr>
      <w:r>
        <w:t xml:space="preserve"> </w:t>
      </w:r>
      <w:r w:rsidRPr="00577CEB">
        <w:t xml:space="preserve">Agamben, </w:t>
      </w:r>
      <w:r>
        <w:t xml:space="preserve">G., (2004), </w:t>
      </w:r>
      <w:r w:rsidRPr="00577CEB">
        <w:rPr>
          <w:i/>
        </w:rPr>
        <w:t>The Open: Man and Animal</w:t>
      </w:r>
      <w:r>
        <w:t xml:space="preserve">, </w:t>
      </w:r>
      <w:r w:rsidRPr="00577CEB">
        <w:t>Stanford: Stan</w:t>
      </w:r>
      <w:r>
        <w:t>ford University Press.</w:t>
      </w:r>
    </w:p>
    <w:p w:rsidR="005E2315" w:rsidRDefault="005E2315" w:rsidP="005E2315">
      <w:pPr>
        <w:pStyle w:val="References"/>
      </w:pPr>
    </w:p>
    <w:p w:rsidR="002D463E" w:rsidRPr="00577CEB" w:rsidRDefault="002D463E" w:rsidP="005E2315">
      <w:pPr>
        <w:pStyle w:val="References"/>
      </w:pPr>
      <w:r>
        <w:t xml:space="preserve"> </w:t>
      </w:r>
      <w:r w:rsidRPr="00577CEB">
        <w:t xml:space="preserve">Agamben, </w:t>
      </w:r>
      <w:r>
        <w:t>G., (1991),</w:t>
      </w:r>
      <w:r w:rsidRPr="00163F32">
        <w:t xml:space="preserve"> </w:t>
      </w:r>
      <w:r w:rsidRPr="00577CEB">
        <w:rPr>
          <w:i/>
        </w:rPr>
        <w:t>Language and Death: The Place of Negativity</w:t>
      </w:r>
      <w:r>
        <w:t xml:space="preserve">, </w:t>
      </w:r>
      <w:r w:rsidRPr="00577CEB">
        <w:t>Minneapolis: University o</w:t>
      </w:r>
      <w:r>
        <w:t>f Minnesota.</w:t>
      </w:r>
    </w:p>
    <w:p w:rsidR="005E2315" w:rsidRDefault="002D463E" w:rsidP="005E2315">
      <w:pPr>
        <w:pStyle w:val="References"/>
      </w:pPr>
      <w:r>
        <w:t xml:space="preserve"> </w:t>
      </w:r>
    </w:p>
    <w:p w:rsidR="002D463E" w:rsidRPr="00577CEB" w:rsidRDefault="002D463E" w:rsidP="005E2315">
      <w:pPr>
        <w:pStyle w:val="References"/>
      </w:pPr>
      <w:r w:rsidRPr="00577CEB">
        <w:t xml:space="preserve">Agamben, </w:t>
      </w:r>
      <w:r>
        <w:t xml:space="preserve">G., (1999), </w:t>
      </w:r>
      <w:r w:rsidRPr="00577CEB">
        <w:rPr>
          <w:i/>
        </w:rPr>
        <w:t>Potentialities: Collected Essays in Philosophy</w:t>
      </w:r>
      <w:r>
        <w:t xml:space="preserve">, </w:t>
      </w:r>
      <w:r w:rsidRPr="00577CEB">
        <w:t>Stanford: Sta</w:t>
      </w:r>
      <w:r>
        <w:t>nford University Press.</w:t>
      </w:r>
    </w:p>
    <w:p w:rsidR="005E2315" w:rsidRDefault="005E2315" w:rsidP="005E2315">
      <w:pPr>
        <w:pStyle w:val="References"/>
      </w:pPr>
    </w:p>
    <w:p w:rsidR="002D463E" w:rsidRPr="00577CEB" w:rsidRDefault="002D463E" w:rsidP="005E2315">
      <w:pPr>
        <w:pStyle w:val="References"/>
      </w:pPr>
      <w:r w:rsidRPr="00577CEB">
        <w:t xml:space="preserve">Agamben, </w:t>
      </w:r>
      <w:r>
        <w:t>G., (1995),</w:t>
      </w:r>
      <w:r w:rsidRPr="00163F32">
        <w:t xml:space="preserve"> </w:t>
      </w:r>
      <w:r w:rsidRPr="00577CEB">
        <w:rPr>
          <w:i/>
        </w:rPr>
        <w:t>The Idea of Prose</w:t>
      </w:r>
      <w:r>
        <w:t xml:space="preserve">. </w:t>
      </w:r>
      <w:r w:rsidRPr="00577CEB">
        <w:t>Albany: State U</w:t>
      </w:r>
      <w:r>
        <w:t>niversity of New York Press.</w:t>
      </w:r>
    </w:p>
    <w:p w:rsidR="005E2315" w:rsidRDefault="005E2315" w:rsidP="005E2315">
      <w:pPr>
        <w:pStyle w:val="References"/>
      </w:pPr>
    </w:p>
    <w:p w:rsidR="002D463E" w:rsidRDefault="002D463E" w:rsidP="005E2315">
      <w:pPr>
        <w:pStyle w:val="References"/>
      </w:pPr>
      <w:r w:rsidRPr="00577CEB">
        <w:t xml:space="preserve">Agamben, </w:t>
      </w:r>
      <w:r>
        <w:t>G., (2002),</w:t>
      </w:r>
      <w:r w:rsidRPr="00163F32">
        <w:t xml:space="preserve"> </w:t>
      </w:r>
      <w:r w:rsidRPr="00577CEB">
        <w:t>R</w:t>
      </w:r>
      <w:r w:rsidRPr="00577CEB">
        <w:rPr>
          <w:i/>
        </w:rPr>
        <w:t>emnants of Auschwitz: The Witness and the Archive</w:t>
      </w:r>
      <w:r>
        <w:rPr>
          <w:i/>
        </w:rPr>
        <w:t xml:space="preserve">, </w:t>
      </w:r>
      <w:r>
        <w:t>New York: Zone Books.</w:t>
      </w:r>
    </w:p>
    <w:p w:rsidR="005E2315" w:rsidRPr="00577CEB" w:rsidRDefault="005E2315" w:rsidP="005E2315">
      <w:pPr>
        <w:pStyle w:val="References"/>
      </w:pPr>
    </w:p>
    <w:p w:rsidR="002D463E" w:rsidRPr="00577CEB" w:rsidRDefault="002D463E" w:rsidP="005E2315">
      <w:pPr>
        <w:pStyle w:val="References"/>
      </w:pPr>
      <w:r w:rsidRPr="00577CEB">
        <w:t xml:space="preserve">Agamben, </w:t>
      </w:r>
      <w:r>
        <w:t>G., (2009),</w:t>
      </w:r>
      <w:r w:rsidRPr="00163F32">
        <w:t xml:space="preserve"> </w:t>
      </w:r>
      <w:r w:rsidRPr="00577CEB">
        <w:rPr>
          <w:i/>
        </w:rPr>
        <w:t>The Signature of All Things</w:t>
      </w:r>
      <w:r>
        <w:t>, New York: Zone Books.</w:t>
      </w:r>
    </w:p>
    <w:p w:rsidR="005E2315" w:rsidRDefault="005E2315" w:rsidP="005E2315">
      <w:pPr>
        <w:pStyle w:val="References"/>
      </w:pPr>
    </w:p>
    <w:p w:rsidR="002D463E" w:rsidRPr="00577CEB" w:rsidRDefault="002D463E" w:rsidP="005E2315">
      <w:pPr>
        <w:pStyle w:val="References"/>
      </w:pPr>
      <w:r>
        <w:t>Aristotle (1988),</w:t>
      </w:r>
      <w:r w:rsidRPr="00577CEB">
        <w:t xml:space="preserve"> </w:t>
      </w:r>
      <w:r w:rsidRPr="00577CEB">
        <w:rPr>
          <w:i/>
        </w:rPr>
        <w:t>The Politics</w:t>
      </w:r>
      <w:r>
        <w:rPr>
          <w:i/>
        </w:rPr>
        <w:t xml:space="preserve">, </w:t>
      </w:r>
      <w:r>
        <w:t>Edited by Stephen Everson, Cambridge: Cambridge University Press.</w:t>
      </w:r>
    </w:p>
    <w:p w:rsidR="005E2315" w:rsidRDefault="005E2315" w:rsidP="005E2315">
      <w:pPr>
        <w:pStyle w:val="References"/>
      </w:pPr>
    </w:p>
    <w:p w:rsidR="002D463E" w:rsidRPr="00577CEB" w:rsidRDefault="002D463E" w:rsidP="005E2315">
      <w:pPr>
        <w:pStyle w:val="References"/>
      </w:pPr>
      <w:r w:rsidRPr="00577CEB">
        <w:t xml:space="preserve">Butler, </w:t>
      </w:r>
      <w:r>
        <w:t xml:space="preserve">J., (2004), </w:t>
      </w:r>
      <w:r w:rsidRPr="00577CEB">
        <w:rPr>
          <w:i/>
        </w:rPr>
        <w:t>Precarious Life</w:t>
      </w:r>
      <w:r>
        <w:t>, London: Verso.</w:t>
      </w:r>
    </w:p>
    <w:p w:rsidR="005E2315" w:rsidRDefault="005E2315" w:rsidP="005E2315">
      <w:pPr>
        <w:pStyle w:val="References"/>
      </w:pPr>
    </w:p>
    <w:p w:rsidR="002D463E" w:rsidRPr="00577CEB" w:rsidRDefault="002D463E" w:rsidP="005E2315">
      <w:pPr>
        <w:pStyle w:val="References"/>
      </w:pPr>
      <w:r w:rsidRPr="00577CEB">
        <w:t xml:space="preserve">Calarco, </w:t>
      </w:r>
      <w:r>
        <w:t xml:space="preserve">M., (2000), </w:t>
      </w:r>
      <w:r w:rsidRPr="00577CEB">
        <w:t>“On the Borders of Language and Death: Agamben and the Question of the Animal”</w:t>
      </w:r>
      <w:r>
        <w:t>,</w:t>
      </w:r>
      <w:r w:rsidRPr="00577CEB">
        <w:t xml:space="preserve"> </w:t>
      </w:r>
      <w:r w:rsidRPr="00577CEB">
        <w:rPr>
          <w:i/>
        </w:rPr>
        <w:t>Philosophy Today</w:t>
      </w:r>
      <w:r w:rsidRPr="00577CEB">
        <w:t xml:space="preserve"> </w:t>
      </w:r>
      <w:r w:rsidRPr="00B75A06">
        <w:t>44</w:t>
      </w:r>
      <w:r>
        <w:t>,</w:t>
      </w:r>
      <w:r w:rsidRPr="00B75A06">
        <w:t xml:space="preserve"> </w:t>
      </w:r>
      <w:r>
        <w:t xml:space="preserve">pp. </w:t>
      </w:r>
      <w:r w:rsidRPr="00B75A06">
        <w:t>91-97.</w:t>
      </w:r>
    </w:p>
    <w:p w:rsidR="005E2315" w:rsidRDefault="005E2315" w:rsidP="005E2315">
      <w:pPr>
        <w:pStyle w:val="References"/>
      </w:pPr>
    </w:p>
    <w:p w:rsidR="002D463E" w:rsidRDefault="002D463E" w:rsidP="005E2315">
      <w:pPr>
        <w:pStyle w:val="References"/>
      </w:pPr>
      <w:r w:rsidRPr="00577CEB">
        <w:t xml:space="preserve">Heidegger, </w:t>
      </w:r>
      <w:r>
        <w:t>M., (1995),</w:t>
      </w:r>
      <w:r w:rsidRPr="00163F32">
        <w:t xml:space="preserve"> </w:t>
      </w:r>
      <w:r w:rsidRPr="00577CEB">
        <w:rPr>
          <w:i/>
        </w:rPr>
        <w:t>Fundamental Concepts of Metaphysics</w:t>
      </w:r>
      <w:r>
        <w:t xml:space="preserve">, </w:t>
      </w:r>
      <w:r w:rsidRPr="00577CEB">
        <w:t>Bloomington: Indian</w:t>
      </w:r>
      <w:r>
        <w:t>a University Press.</w:t>
      </w:r>
    </w:p>
    <w:p w:rsidR="005E2315" w:rsidRDefault="005E2315" w:rsidP="005E2315">
      <w:pPr>
        <w:pStyle w:val="References"/>
      </w:pPr>
    </w:p>
    <w:p w:rsidR="002D463E" w:rsidRPr="00577CEB" w:rsidRDefault="002D463E" w:rsidP="005E2315">
      <w:pPr>
        <w:pStyle w:val="References"/>
      </w:pPr>
      <w:r w:rsidRPr="00577CEB">
        <w:t xml:space="preserve">Heidegger, </w:t>
      </w:r>
      <w:r>
        <w:t xml:space="preserve">M., (1996), </w:t>
      </w:r>
      <w:r w:rsidRPr="00577CEB">
        <w:rPr>
          <w:i/>
        </w:rPr>
        <w:t>Being and Time</w:t>
      </w:r>
      <w:r>
        <w:t>, Albany: State University of New York Press.</w:t>
      </w:r>
    </w:p>
    <w:p w:rsidR="002D463E" w:rsidRPr="00577CEB" w:rsidRDefault="002D463E" w:rsidP="005E2315">
      <w:pPr>
        <w:pStyle w:val="References"/>
      </w:pPr>
    </w:p>
    <w:p w:rsidR="002D463E" w:rsidRPr="00577CEB" w:rsidRDefault="002D463E" w:rsidP="005E2315">
      <w:pPr>
        <w:pStyle w:val="References"/>
      </w:pPr>
      <w:r w:rsidRPr="00577CEB">
        <w:t>Heller-Roazen,</w:t>
      </w:r>
      <w:r>
        <w:t xml:space="preserve"> D., (1999), “Editor’s Introduction: To Read What Was Never Written”, I</w:t>
      </w:r>
      <w:r w:rsidRPr="00577CEB">
        <w:t xml:space="preserve">n </w:t>
      </w:r>
      <w:r w:rsidRPr="00577CEB">
        <w:rPr>
          <w:i/>
        </w:rPr>
        <w:t>Potentialities: Collected Essays in Philosophy</w:t>
      </w:r>
      <w:r>
        <w:t>, B</w:t>
      </w:r>
      <w:r w:rsidRPr="00577CEB">
        <w:t>y Giorg</w:t>
      </w:r>
      <w:r>
        <w:t xml:space="preserve">io Agamben, </w:t>
      </w:r>
      <w:r w:rsidRPr="00577CEB">
        <w:t>Stanford: Sta</w:t>
      </w:r>
      <w:r>
        <w:t>nford University Press.</w:t>
      </w:r>
    </w:p>
    <w:p w:rsidR="005E2315" w:rsidRDefault="005E2315" w:rsidP="005E2315">
      <w:pPr>
        <w:pStyle w:val="References"/>
      </w:pPr>
    </w:p>
    <w:p w:rsidR="002D463E" w:rsidRPr="00577CEB" w:rsidRDefault="002D463E" w:rsidP="005E2315">
      <w:pPr>
        <w:pStyle w:val="References"/>
      </w:pPr>
      <w:r>
        <w:t>Jones, E., (2007),</w:t>
      </w:r>
      <w:r w:rsidRPr="00577CEB">
        <w:t xml:space="preserve"> “In the Presence of the Living Cockroach: The Moment of Aliveness and the Gendered B</w:t>
      </w:r>
      <w:r>
        <w:t xml:space="preserve">ody in Agamben and Lispector”, </w:t>
      </w:r>
      <w:r w:rsidRPr="00577CEB">
        <w:rPr>
          <w:i/>
        </w:rPr>
        <w:t>PhaenEx</w:t>
      </w:r>
      <w:r>
        <w:rPr>
          <w:i/>
        </w:rPr>
        <w:t>,</w:t>
      </w:r>
      <w:r w:rsidRPr="00577CEB">
        <w:t xml:space="preserve"> </w:t>
      </w:r>
      <w:r>
        <w:t>2.</w:t>
      </w:r>
    </w:p>
    <w:p w:rsidR="005E2315" w:rsidRPr="007B5FEE" w:rsidRDefault="005E2315" w:rsidP="005E2315">
      <w:pPr>
        <w:pStyle w:val="References"/>
      </w:pPr>
    </w:p>
    <w:p w:rsidR="002D463E" w:rsidRDefault="002D463E" w:rsidP="005E2315">
      <w:pPr>
        <w:pStyle w:val="References"/>
        <w:rPr>
          <w:lang w:val="fr-FR"/>
        </w:rPr>
      </w:pPr>
      <w:r w:rsidRPr="002D463E">
        <w:rPr>
          <w:lang w:val="fr-FR"/>
        </w:rPr>
        <w:t xml:space="preserve">Kristeva, J., (2005), </w:t>
      </w:r>
      <w:r w:rsidRPr="002D463E">
        <w:rPr>
          <w:i/>
          <w:lang w:val="fr-FR"/>
        </w:rPr>
        <w:t>La haine et le pardon</w:t>
      </w:r>
      <w:r w:rsidRPr="002D463E">
        <w:rPr>
          <w:lang w:val="fr-FR"/>
        </w:rPr>
        <w:t>, Paris: Fayard.</w:t>
      </w:r>
    </w:p>
    <w:p w:rsidR="005E2315" w:rsidRPr="007B5FEE" w:rsidRDefault="005E2315" w:rsidP="0064541B">
      <w:pPr>
        <w:pStyle w:val="References"/>
        <w:ind w:left="0" w:firstLine="0"/>
        <w:rPr>
          <w:lang w:val="fr-FR"/>
        </w:rPr>
      </w:pPr>
    </w:p>
    <w:p w:rsidR="002D463E" w:rsidRDefault="002D463E" w:rsidP="005E2315">
      <w:pPr>
        <w:pStyle w:val="References"/>
      </w:pPr>
      <w:r w:rsidRPr="00577CEB">
        <w:t xml:space="preserve">Mills, </w:t>
      </w:r>
      <w:r>
        <w:t xml:space="preserve">C., (2005), </w:t>
      </w:r>
      <w:r w:rsidRPr="00577CEB">
        <w:t xml:space="preserve">“Linguistic Survival and Ethicality: Biopolitics, Subjectivation, and Testimony in </w:t>
      </w:r>
      <w:r w:rsidRPr="00577CEB">
        <w:rPr>
          <w:i/>
        </w:rPr>
        <w:t>Remnants of Auschwitz</w:t>
      </w:r>
      <w:r>
        <w:t>”, I</w:t>
      </w:r>
      <w:r w:rsidRPr="00577CEB">
        <w:t xml:space="preserve">n </w:t>
      </w:r>
      <w:r w:rsidRPr="00577CEB">
        <w:rPr>
          <w:i/>
        </w:rPr>
        <w:t>Politics, Metaphysics and Death: Essays on Giorgio Agamben’s Homo Sacer</w:t>
      </w:r>
      <w:r>
        <w:t xml:space="preserve">, Norris, A., (Ed.),, </w:t>
      </w:r>
      <w:r w:rsidRPr="00577CEB">
        <w:t>Durh</w:t>
      </w:r>
      <w:r>
        <w:t>am: Duke University Press,: 198-222.</w:t>
      </w:r>
    </w:p>
    <w:p w:rsidR="005E2315" w:rsidRDefault="005E2315" w:rsidP="005E2315">
      <w:pPr>
        <w:pStyle w:val="References"/>
      </w:pPr>
    </w:p>
    <w:p w:rsidR="002D463E" w:rsidRDefault="002D463E" w:rsidP="005E2315">
      <w:pPr>
        <w:pStyle w:val="References"/>
      </w:pPr>
      <w:r w:rsidRPr="00577CEB">
        <w:t xml:space="preserve">Mills, </w:t>
      </w:r>
      <w:r>
        <w:t>C., (2008),</w:t>
      </w:r>
      <w:r w:rsidRPr="00163F32">
        <w:t xml:space="preserve"> </w:t>
      </w:r>
      <w:r w:rsidRPr="00577CEB">
        <w:rPr>
          <w:i/>
        </w:rPr>
        <w:t>The Philosophy of Agamben</w:t>
      </w:r>
      <w:r>
        <w:t>, Stocksfield: Acumen.</w:t>
      </w:r>
    </w:p>
    <w:p w:rsidR="005E2315" w:rsidRPr="00577CEB" w:rsidRDefault="005E2315" w:rsidP="005E2315">
      <w:pPr>
        <w:pStyle w:val="References"/>
      </w:pPr>
    </w:p>
    <w:p w:rsidR="002D463E" w:rsidRDefault="002D463E" w:rsidP="005E2315">
      <w:pPr>
        <w:pStyle w:val="References"/>
      </w:pPr>
      <w:r w:rsidRPr="00577CEB">
        <w:t>Oliver,</w:t>
      </w:r>
      <w:r>
        <w:t xml:space="preserve"> K., (2009),</w:t>
      </w:r>
      <w:r w:rsidRPr="00577CEB">
        <w:t xml:space="preserve"> </w:t>
      </w:r>
      <w:r w:rsidRPr="00577CEB">
        <w:rPr>
          <w:i/>
        </w:rPr>
        <w:t>Animal Lessons: How They Teach Us to be Human</w:t>
      </w:r>
      <w:r>
        <w:t xml:space="preserve">, </w:t>
      </w:r>
      <w:r w:rsidRPr="00577CEB">
        <w:t>New York</w:t>
      </w:r>
      <w:r>
        <w:t>: Columbia University Press.</w:t>
      </w:r>
    </w:p>
    <w:p w:rsidR="005E2315" w:rsidRPr="00577CEB" w:rsidRDefault="005E2315" w:rsidP="005E2315">
      <w:pPr>
        <w:pStyle w:val="References"/>
      </w:pPr>
    </w:p>
    <w:p w:rsidR="002D463E" w:rsidRDefault="002D463E" w:rsidP="005E2315">
      <w:pPr>
        <w:pStyle w:val="References"/>
        <w:sectPr w:rsidR="002D463E" w:rsidSect="000175E0">
          <w:footnotePr>
            <w:numRestart w:val="eachSect"/>
          </w:footnotePr>
          <w:pgSz w:w="11907" w:h="16839" w:code="9"/>
          <w:pgMar w:top="1440" w:right="1800" w:bottom="1440" w:left="1800" w:header="720" w:footer="720" w:gutter="0"/>
          <w:cols w:space="720"/>
          <w:docGrid w:linePitch="360"/>
        </w:sectPr>
      </w:pPr>
      <w:r>
        <w:t xml:space="preserve">Taylor, C., (2008), </w:t>
      </w:r>
      <w:r w:rsidRPr="00577CEB">
        <w:t>“The Precarious Lives of Animals: Butler, Coetzee and Animal Ethics”</w:t>
      </w:r>
      <w:r>
        <w:t>,</w:t>
      </w:r>
      <w:r w:rsidRPr="00577CEB">
        <w:t xml:space="preserve"> </w:t>
      </w:r>
      <w:r w:rsidRPr="00577CEB">
        <w:rPr>
          <w:i/>
        </w:rPr>
        <w:t>Philosophy Today</w:t>
      </w:r>
      <w:r>
        <w:rPr>
          <w:i/>
        </w:rPr>
        <w:t>,</w:t>
      </w:r>
      <w:r>
        <w:t xml:space="preserve"> 52.1, pp. 60-72.</w:t>
      </w:r>
    </w:p>
    <w:p w:rsidR="002D463E" w:rsidRPr="004B0DBD" w:rsidRDefault="002D463E" w:rsidP="00066FE8">
      <w:pPr>
        <w:pStyle w:val="Heading1"/>
      </w:pPr>
      <w:bookmarkStart w:id="91" w:name="_Toc292202642"/>
      <w:r w:rsidRPr="004B0DBD">
        <w:t>“Veil of Shame”: Derrida, Sarah Bartmann and Animality</w:t>
      </w:r>
      <w:bookmarkEnd w:id="91"/>
    </w:p>
    <w:p w:rsidR="002D463E" w:rsidRDefault="002D463E" w:rsidP="00066FE8"/>
    <w:p w:rsidR="002D463E" w:rsidRPr="00834724" w:rsidRDefault="002D463E" w:rsidP="00066FE8">
      <w:pPr>
        <w:pStyle w:val="Heading1"/>
      </w:pPr>
      <w:bookmarkStart w:id="92" w:name="_Toc292202643"/>
      <w:r w:rsidRPr="00834724">
        <w:t>Rebecca Tuvel</w:t>
      </w:r>
      <w:r>
        <w:rPr>
          <w:rStyle w:val="FootnoteReference"/>
          <w:b w:val="0"/>
          <w:sz w:val="32"/>
          <w:szCs w:val="32"/>
        </w:rPr>
        <w:footnoteReference w:id="61"/>
      </w:r>
      <w:bookmarkEnd w:id="92"/>
    </w:p>
    <w:p w:rsidR="002D463E" w:rsidRPr="004D0257" w:rsidRDefault="002D463E" w:rsidP="002D463E">
      <w:pPr>
        <w:spacing w:line="480" w:lineRule="auto"/>
        <w:rPr>
          <w:szCs w:val="24"/>
          <w:u w:val="single"/>
        </w:rPr>
      </w:pPr>
    </w:p>
    <w:p w:rsidR="002D463E" w:rsidRPr="00EE10A8" w:rsidRDefault="002D463E" w:rsidP="00066FE8">
      <w:pPr>
        <w:pStyle w:val="Heading3"/>
      </w:pPr>
      <w:r w:rsidRPr="00EE10A8">
        <w:t>Introduction</w:t>
      </w:r>
    </w:p>
    <w:p w:rsidR="002D463E" w:rsidRDefault="002D463E" w:rsidP="002D463E">
      <w:pPr>
        <w:rPr>
          <w:szCs w:val="24"/>
        </w:rPr>
      </w:pPr>
    </w:p>
    <w:p w:rsidR="002D463E" w:rsidRPr="004D0257" w:rsidRDefault="002D463E" w:rsidP="002D463E">
      <w:pPr>
        <w:rPr>
          <w:szCs w:val="24"/>
        </w:rPr>
      </w:pPr>
      <w:r w:rsidRPr="004D0257">
        <w:rPr>
          <w:szCs w:val="24"/>
        </w:rPr>
        <w:t>Sarah Bartmann, famously known as the “Hottentot Venus,” was a South African Khoisan woman wh</w:t>
      </w:r>
      <w:r>
        <w:rPr>
          <w:szCs w:val="24"/>
        </w:rPr>
        <w:t>o was paraded around nineteenth-</w:t>
      </w:r>
      <w:r w:rsidRPr="004D0257">
        <w:rPr>
          <w:szCs w:val="24"/>
        </w:rPr>
        <w:t>century England and France (sometimes in a cage) because of her striking appearance.</w:t>
      </w:r>
      <w:r w:rsidRPr="004D0257">
        <w:rPr>
          <w:rStyle w:val="FootnoteReference"/>
          <w:szCs w:val="24"/>
        </w:rPr>
        <w:footnoteReference w:id="62"/>
      </w:r>
      <w:r w:rsidRPr="004D0257">
        <w:rPr>
          <w:szCs w:val="24"/>
        </w:rPr>
        <w:t xml:space="preserve"> Significantly, descriptions of Bartmann abound with references to her similarity to animals. As racial theorist T. Denean Sharpley-Whiting notes, most people “did not view her as </w:t>
      </w:r>
      <w:r>
        <w:rPr>
          <w:szCs w:val="24"/>
        </w:rPr>
        <w:t>a person or even a human” (1999:</w:t>
      </w:r>
      <w:r w:rsidRPr="004D0257">
        <w:rPr>
          <w:szCs w:val="24"/>
        </w:rPr>
        <w:t xml:space="preserve"> 17). In 1839, Samuel Morton, the father of scientific racism, described Bartmann and the Khoisans as “the nearest approximation to the </w:t>
      </w:r>
      <w:r>
        <w:rPr>
          <w:szCs w:val="24"/>
        </w:rPr>
        <w:t>lower animals” (Washington 2006:</w:t>
      </w:r>
      <w:r w:rsidRPr="004D0257">
        <w:rPr>
          <w:szCs w:val="24"/>
        </w:rPr>
        <w:t xml:space="preserve"> 83).</w:t>
      </w:r>
      <w:r w:rsidRPr="004D0257">
        <w:rPr>
          <w:rStyle w:val="FootnoteReference"/>
          <w:szCs w:val="24"/>
        </w:rPr>
        <w:footnoteReference w:id="63"/>
      </w:r>
      <w:r w:rsidRPr="004D0257">
        <w:rPr>
          <w:szCs w:val="24"/>
        </w:rPr>
        <w:t xml:space="preserve"> In being connected to animality, Bartmann’s body was variously employed by the ninete</w:t>
      </w:r>
      <w:r>
        <w:rPr>
          <w:szCs w:val="24"/>
        </w:rPr>
        <w:t>enth-</w:t>
      </w:r>
      <w:r w:rsidRPr="004D0257">
        <w:rPr>
          <w:szCs w:val="24"/>
        </w:rPr>
        <w:t xml:space="preserve">century scientific community in the service of human (read: white, male, European) self-conceptions. </w:t>
      </w:r>
    </w:p>
    <w:p w:rsidR="002D463E" w:rsidRDefault="002D463E" w:rsidP="002D463E">
      <w:pPr>
        <w:rPr>
          <w:szCs w:val="24"/>
        </w:rPr>
      </w:pPr>
    </w:p>
    <w:p w:rsidR="002D463E" w:rsidRPr="004D0257" w:rsidRDefault="002D463E" w:rsidP="002D463E">
      <w:pPr>
        <w:rPr>
          <w:szCs w:val="24"/>
        </w:rPr>
      </w:pPr>
      <w:r w:rsidRPr="004D0257">
        <w:rPr>
          <w:szCs w:val="24"/>
        </w:rPr>
        <w:t xml:space="preserve">Alongside a reading of Derrida’s “The Animal That Therefore I Am (More to Follow),” I maintain that the way Sarah Bartmann’s raced, sexed and colonial treatment was </w:t>
      </w:r>
      <w:r w:rsidRPr="004D0257">
        <w:rPr>
          <w:i/>
          <w:szCs w:val="24"/>
        </w:rPr>
        <w:t>animalized</w:t>
      </w:r>
      <w:r w:rsidRPr="004D0257">
        <w:rPr>
          <w:szCs w:val="24"/>
        </w:rPr>
        <w:t xml:space="preserve"> concretely illustrates Derrida’s claim that the animal-human binary is perhaps the most central for theory.</w:t>
      </w:r>
      <w:r w:rsidRPr="004D0257">
        <w:rPr>
          <w:rStyle w:val="FootnoteReference"/>
          <w:szCs w:val="24"/>
        </w:rPr>
        <w:footnoteReference w:id="64"/>
      </w:r>
      <w:r w:rsidRPr="004D0257">
        <w:rPr>
          <w:szCs w:val="24"/>
        </w:rPr>
        <w:t xml:space="preserve"> In his text, Derrida argues that the animal-human binary we have constructed goes all the way back to a time before time, indeed to the “very genesis </w:t>
      </w:r>
      <w:r w:rsidRPr="004D0257">
        <w:rPr>
          <w:i/>
          <w:szCs w:val="24"/>
        </w:rPr>
        <w:t>of</w:t>
      </w:r>
      <w:r>
        <w:rPr>
          <w:szCs w:val="24"/>
        </w:rPr>
        <w:t xml:space="preserve"> time” (2008:</w:t>
      </w:r>
      <w:r w:rsidRPr="004D0257">
        <w:rPr>
          <w:szCs w:val="24"/>
        </w:rPr>
        <w:t xml:space="preserve"> 17</w:t>
      </w:r>
      <w:r>
        <w:rPr>
          <w:szCs w:val="24"/>
        </w:rPr>
        <w:t>, my emphasis</w:t>
      </w:r>
      <w:r w:rsidRPr="004D0257">
        <w:rPr>
          <w:szCs w:val="24"/>
        </w:rPr>
        <w:t xml:space="preserve">). But despite the fact that the animal-human divide has been lurking in the background since time began, theorists of oppression have yet to appreciate its enduring centrality. I maintain that if the animal-human divide persists in the background of both our theory and practice, it remains the generative site for the deployment of ever new and mutating strategies of oppression. Accordingly, I propose that critical gender, sex and race theory </w:t>
      </w:r>
      <w:r w:rsidRPr="004D0257">
        <w:rPr>
          <w:i/>
          <w:szCs w:val="24"/>
        </w:rPr>
        <w:t>must</w:t>
      </w:r>
      <w:r w:rsidRPr="004D0257">
        <w:rPr>
          <w:szCs w:val="24"/>
        </w:rPr>
        <w:t xml:space="preserve"> register the animal-human dichotomy as a </w:t>
      </w:r>
      <w:r w:rsidRPr="004D0257">
        <w:rPr>
          <w:i/>
          <w:szCs w:val="24"/>
        </w:rPr>
        <w:t>fundamental driving mechanism</w:t>
      </w:r>
      <w:r w:rsidRPr="004D0257">
        <w:rPr>
          <w:szCs w:val="24"/>
        </w:rPr>
        <w:t xml:space="preserve"> inherent in raced, sexed and colonial oppression, and therefore one that must be rigorously challenged if we wish to combat varying modes of persecution.</w:t>
      </w:r>
      <w:r w:rsidRPr="004D0257">
        <w:rPr>
          <w:rStyle w:val="FootnoteReference"/>
          <w:szCs w:val="24"/>
        </w:rPr>
        <w:footnoteReference w:id="65"/>
      </w:r>
      <w:r w:rsidRPr="004D0257">
        <w:rPr>
          <w:szCs w:val="24"/>
        </w:rPr>
        <w:t xml:space="preserve"> </w:t>
      </w:r>
    </w:p>
    <w:p w:rsidR="002D463E" w:rsidRPr="004D0257" w:rsidRDefault="002D463E" w:rsidP="002D463E">
      <w:pPr>
        <w:rPr>
          <w:szCs w:val="24"/>
          <w:lang w:val="en-US"/>
        </w:rPr>
      </w:pPr>
    </w:p>
    <w:p w:rsidR="002D463E" w:rsidRPr="00554F4D" w:rsidRDefault="002D463E" w:rsidP="00066FE8">
      <w:pPr>
        <w:pStyle w:val="Heading3"/>
        <w:rPr>
          <w:lang w:val="en-US"/>
        </w:rPr>
      </w:pPr>
      <w:r w:rsidRPr="00066FE8">
        <w:rPr>
          <w:rStyle w:val="Heading3Char"/>
        </w:rPr>
        <w:t>“The One-Woman Spectacle</w:t>
      </w:r>
      <w:r w:rsidRPr="00554F4D">
        <w:rPr>
          <w:lang w:val="en-US"/>
        </w:rPr>
        <w:t>”</w:t>
      </w:r>
      <w:r w:rsidRPr="00554F4D">
        <w:rPr>
          <w:rStyle w:val="FootnoteReference"/>
          <w:b w:val="0"/>
          <w:lang w:val="en-US"/>
        </w:rPr>
        <w:footnoteReference w:id="66"/>
      </w:r>
    </w:p>
    <w:p w:rsidR="002D463E" w:rsidRDefault="002D463E" w:rsidP="002D463E">
      <w:pPr>
        <w:rPr>
          <w:szCs w:val="24"/>
        </w:rPr>
      </w:pPr>
    </w:p>
    <w:p w:rsidR="002D463E" w:rsidRPr="004D0257" w:rsidRDefault="002D463E" w:rsidP="002D463E">
      <w:pPr>
        <w:rPr>
          <w:szCs w:val="24"/>
        </w:rPr>
      </w:pPr>
      <w:r w:rsidRPr="004D0257">
        <w:rPr>
          <w:szCs w:val="24"/>
        </w:rPr>
        <w:t>Sarah Bartmann was born in the Cape Colony of South Africa, which later came under Dutch colon</w:t>
      </w:r>
      <w:r>
        <w:rPr>
          <w:szCs w:val="24"/>
        </w:rPr>
        <w:t>ial rule (Sharpley-Whiting 1999:</w:t>
      </w:r>
      <w:r w:rsidRPr="004D0257">
        <w:rPr>
          <w:szCs w:val="24"/>
        </w:rPr>
        <w:t xml:space="preserve"> 17). Before her departure for Europe, Bartmann worked as a servant for a colonist named Peter Cesar, although there is speculation that she was his slave (W</w:t>
      </w:r>
      <w:r>
        <w:rPr>
          <w:szCs w:val="24"/>
        </w:rPr>
        <w:t>ashington 2006:</w:t>
      </w:r>
      <w:r w:rsidRPr="004D0257">
        <w:rPr>
          <w:szCs w:val="24"/>
        </w:rPr>
        <w:t xml:space="preserve"> 82). In 1810, Bartmann entered into a contract with a surgeon who promised to take her to England and pay her at the end of five years’ service for her exhibition (Sharpley-Whiting</w:t>
      </w:r>
      <w:r>
        <w:rPr>
          <w:szCs w:val="24"/>
        </w:rPr>
        <w:t>, 1999:</w:t>
      </w:r>
      <w:r w:rsidRPr="004D0257">
        <w:rPr>
          <w:szCs w:val="24"/>
        </w:rPr>
        <w:t xml:space="preserve"> 18). Most people came to see her for her unusually large buttocks and small frame. During the course of her observation, Bartmann’s body was soon compared to that of an animal. In a famous picture depicting Sarah Bartmann and four people gawking at her body, one of the captions reads “Oh goddamn, what roast beef!,” drawing an explicit parallel to the buttocks of an animal carcass taken for food (Sharpley-Whiting</w:t>
      </w:r>
      <w:r>
        <w:rPr>
          <w:szCs w:val="24"/>
        </w:rPr>
        <w:t>, 1999:</w:t>
      </w:r>
      <w:r w:rsidRPr="004D0257">
        <w:rPr>
          <w:szCs w:val="24"/>
        </w:rPr>
        <w:t xml:space="preserve"> 21). Such a picture captures both the visual and edible modes of consuming Bartmann’s body, as if she were an animal in a zoo as well as an animal on our plates. In one of his observations, the famous French naturalist Georges Cuvier describes Bartmann as having a “way of pouting her lips exactly like…</w:t>
      </w:r>
      <w:r>
        <w:rPr>
          <w:szCs w:val="24"/>
        </w:rPr>
        <w:t xml:space="preserve"> </w:t>
      </w:r>
      <w:r w:rsidRPr="004D0257">
        <w:rPr>
          <w:szCs w:val="24"/>
        </w:rPr>
        <w:t>we have observed in the Orang-Outang…</w:t>
      </w:r>
      <w:r>
        <w:rPr>
          <w:szCs w:val="24"/>
        </w:rPr>
        <w:t xml:space="preserve"> </w:t>
      </w:r>
      <w:r w:rsidRPr="004D0257">
        <w:rPr>
          <w:szCs w:val="24"/>
        </w:rPr>
        <w:t>her ear was like that of many apes…</w:t>
      </w:r>
      <w:r>
        <w:rPr>
          <w:szCs w:val="24"/>
        </w:rPr>
        <w:t xml:space="preserve"> </w:t>
      </w:r>
      <w:r w:rsidRPr="004D0257">
        <w:rPr>
          <w:szCs w:val="24"/>
        </w:rPr>
        <w:t>These are animal characters” (Washington</w:t>
      </w:r>
      <w:r>
        <w:rPr>
          <w:szCs w:val="24"/>
        </w:rPr>
        <w:t>, 2006:</w:t>
      </w:r>
      <w:r w:rsidRPr="004D0257">
        <w:rPr>
          <w:szCs w:val="24"/>
        </w:rPr>
        <w:t xml:space="preserve"> 85). Author Harriet Washington further explains that Bartmann was often “displayed nude or bedecked in animal skins” and that “she was made to stand naked at parties of the wealthy and to impersonate a chained animal in garish Piccadilly, where the mob paid a shilling a head to gape and shout vulgarities” (84-5). In sum, there was little distinction between Sarah’s exhibition as a “one-woman spectacle” and that of animals in a zoo, especially considering that her French guardian was an exhibitor of wild animals who displayed her in a cage and told her to act “like a </w:t>
      </w:r>
      <w:r>
        <w:rPr>
          <w:szCs w:val="24"/>
        </w:rPr>
        <w:t>wild beast” (1999: 19, 18; 2006:</w:t>
      </w:r>
      <w:r w:rsidRPr="004D0257">
        <w:rPr>
          <w:szCs w:val="24"/>
        </w:rPr>
        <w:t xml:space="preserve"> 85). Bartmann eventually turned to alcohol and succumbed to an early death in 1815, a</w:t>
      </w:r>
      <w:r>
        <w:rPr>
          <w:szCs w:val="24"/>
        </w:rPr>
        <w:t>t the age of twenty-seven (2006:</w:t>
      </w:r>
      <w:r w:rsidRPr="004D0257">
        <w:rPr>
          <w:szCs w:val="24"/>
        </w:rPr>
        <w:t xml:space="preserve"> 85). To add final insult to Bartmann’s long life of injury, Cuvier “preserved her brain, vulva, and anus in glass jars, then stripped the flesh from her skeleton and hung </w:t>
      </w:r>
      <w:r>
        <w:rPr>
          <w:szCs w:val="24"/>
        </w:rPr>
        <w:t xml:space="preserve">it on display in Paris’s Museé </w:t>
      </w:r>
      <w:r w:rsidRPr="004D0257">
        <w:rPr>
          <w:szCs w:val="24"/>
        </w:rPr>
        <w:t>de l’Homme,” not unlike one would do with an exotic animal one has conquer</w:t>
      </w:r>
      <w:r>
        <w:rPr>
          <w:szCs w:val="24"/>
        </w:rPr>
        <w:t>ed (2006:</w:t>
      </w:r>
      <w:r w:rsidRPr="004D0257">
        <w:rPr>
          <w:szCs w:val="24"/>
        </w:rPr>
        <w:t xml:space="preserve"> 85).</w:t>
      </w:r>
    </w:p>
    <w:p w:rsidR="002D463E" w:rsidRDefault="002D463E" w:rsidP="002D463E">
      <w:pPr>
        <w:rPr>
          <w:szCs w:val="24"/>
        </w:rPr>
      </w:pPr>
    </w:p>
    <w:p w:rsidR="002D463E" w:rsidRPr="004D0257" w:rsidRDefault="002D463E" w:rsidP="002D463E">
      <w:pPr>
        <w:rPr>
          <w:szCs w:val="24"/>
        </w:rPr>
      </w:pPr>
      <w:r w:rsidRPr="004D0257">
        <w:rPr>
          <w:szCs w:val="24"/>
        </w:rPr>
        <w:t>Given that Sarah’s body was associated with animality, a shift of interest in her from object of entertainment to object of scientific inquiry soon took place. At that time, very little distinction obtained between primates and blacks in the popular imagination (Washington</w:t>
      </w:r>
      <w:r>
        <w:rPr>
          <w:szCs w:val="24"/>
        </w:rPr>
        <w:t>,</w:t>
      </w:r>
      <w:r w:rsidRPr="004D0257">
        <w:rPr>
          <w:szCs w:val="24"/>
        </w:rPr>
        <w:t xml:space="preserve"> </w:t>
      </w:r>
      <w:r>
        <w:rPr>
          <w:szCs w:val="24"/>
        </w:rPr>
        <w:t xml:space="preserve"> 2006: </w:t>
      </w:r>
      <w:r w:rsidRPr="004D0257">
        <w:rPr>
          <w:szCs w:val="24"/>
        </w:rPr>
        <w:t>24)</w:t>
      </w:r>
      <w:r w:rsidRPr="004D0257">
        <w:rPr>
          <w:szCs w:val="24"/>
          <w:lang w:val="en-US"/>
        </w:rPr>
        <w:t xml:space="preserve">. </w:t>
      </w:r>
      <w:r w:rsidRPr="004D0257">
        <w:rPr>
          <w:szCs w:val="24"/>
        </w:rPr>
        <w:t xml:space="preserve"> It was thus that, “For the scientific community, she provided the missing link in the ‘great chain of being,’ the crucial step between humanity, that is Europeans, and animals” (Washington</w:t>
      </w:r>
      <w:r>
        <w:rPr>
          <w:szCs w:val="24"/>
        </w:rPr>
        <w:t xml:space="preserve">, 2006: </w:t>
      </w:r>
      <w:r w:rsidRPr="004D0257">
        <w:rPr>
          <w:szCs w:val="24"/>
        </w:rPr>
        <w:t>17). In 1815, Bartmann’s body was examined by a group of researchers (zoologists among them) for a three-day period in order to determine whether her body could help account for the evolutionary gap between humans and animals. The scientific community, troubled at the time by this “blind spot” in its vision, turned to Bartmann for their answer since she was a “highly developed animal” (Washington</w:t>
      </w:r>
      <w:r>
        <w:rPr>
          <w:szCs w:val="24"/>
        </w:rPr>
        <w:t xml:space="preserve">, 2006: </w:t>
      </w:r>
      <w:r w:rsidRPr="004D0257">
        <w:rPr>
          <w:szCs w:val="24"/>
        </w:rPr>
        <w:t>22). During the course of her three-day observation, Bartmann was asked to bare all for the observers. Cuvier explained,</w:t>
      </w:r>
    </w:p>
    <w:p w:rsidR="002D463E" w:rsidRDefault="002D463E" w:rsidP="002D463E">
      <w:pPr>
        <w:spacing w:line="240" w:lineRule="auto"/>
        <w:ind w:left="737" w:right="737"/>
        <w:rPr>
          <w:szCs w:val="24"/>
        </w:rPr>
      </w:pPr>
    </w:p>
    <w:p w:rsidR="002D463E" w:rsidRPr="004D0257" w:rsidRDefault="002D463E" w:rsidP="00A30E4F">
      <w:pPr>
        <w:ind w:left="737" w:right="737"/>
        <w:rPr>
          <w:szCs w:val="24"/>
        </w:rPr>
      </w:pPr>
      <w:r w:rsidRPr="004D0257">
        <w:rPr>
          <w:szCs w:val="24"/>
        </w:rPr>
        <w:t>Our drawings present each animal in a simple state and always in a profile because it is in this position that one can best seize the totality of the form and physiognomy; and we have taken care to provide a frontal drawing where necessary in order to better see and judge the animals (Washington</w:t>
      </w:r>
      <w:r>
        <w:rPr>
          <w:szCs w:val="24"/>
        </w:rPr>
        <w:t>,</w:t>
      </w:r>
      <w:r w:rsidRPr="004D0257">
        <w:rPr>
          <w:szCs w:val="24"/>
        </w:rPr>
        <w:t xml:space="preserve"> </w:t>
      </w:r>
      <w:r>
        <w:rPr>
          <w:szCs w:val="24"/>
        </w:rPr>
        <w:t xml:space="preserve">2006: </w:t>
      </w:r>
      <w:r w:rsidRPr="004D0257">
        <w:rPr>
          <w:szCs w:val="24"/>
        </w:rPr>
        <w:t>23).</w:t>
      </w:r>
    </w:p>
    <w:p w:rsidR="002D463E" w:rsidRDefault="002D463E" w:rsidP="002D463E">
      <w:pPr>
        <w:spacing w:line="240" w:lineRule="auto"/>
        <w:rPr>
          <w:szCs w:val="24"/>
        </w:rPr>
      </w:pPr>
    </w:p>
    <w:p w:rsidR="002D463E" w:rsidRPr="004D0257" w:rsidRDefault="002D463E" w:rsidP="002D463E">
      <w:pPr>
        <w:rPr>
          <w:szCs w:val="24"/>
          <w:lang w:val="en-US"/>
        </w:rPr>
      </w:pPr>
      <w:r w:rsidRPr="004D0257">
        <w:rPr>
          <w:szCs w:val="24"/>
        </w:rPr>
        <w:t xml:space="preserve">Here, we learn how Bartmann (and animal bodies more generally) were read as texts of scientific data. The researchers literally imposed their visual tools on the body to “see” </w:t>
      </w:r>
      <w:r>
        <w:rPr>
          <w:szCs w:val="24"/>
        </w:rPr>
        <w:t>the knowledge that lay there</w:t>
      </w:r>
      <w:r w:rsidRPr="004D0257">
        <w:rPr>
          <w:szCs w:val="24"/>
        </w:rPr>
        <w:t xml:space="preserve">. Throughout his text, Derrida repeatedly invokes the phrase the “naked truth” to flag the commonly held belief that the truth must be laid </w:t>
      </w:r>
      <w:r w:rsidRPr="004D0257">
        <w:rPr>
          <w:i/>
          <w:szCs w:val="24"/>
        </w:rPr>
        <w:t>bare</w:t>
      </w:r>
      <w:r w:rsidRPr="004D0257">
        <w:rPr>
          <w:szCs w:val="24"/>
        </w:rPr>
        <w:t xml:space="preserve"> in order to be seen. In line with this belief, it makes sense that the researchers felt they could ascertain the truth of bodies only if they too were revealed in </w:t>
      </w:r>
      <w:r w:rsidRPr="004D0257">
        <w:rPr>
          <w:i/>
          <w:szCs w:val="24"/>
        </w:rPr>
        <w:t>their</w:t>
      </w:r>
      <w:r w:rsidRPr="004D0257">
        <w:rPr>
          <w:szCs w:val="24"/>
        </w:rPr>
        <w:t xml:space="preserve"> nakedness. So, in trying to figure out the “naked truth” of Sarah’s body, they requested that she be naked.</w:t>
      </w:r>
      <w:r w:rsidRPr="004D0257">
        <w:rPr>
          <w:rStyle w:val="FootnoteReference"/>
          <w:szCs w:val="24"/>
        </w:rPr>
        <w:footnoteReference w:id="67"/>
      </w:r>
      <w:r w:rsidRPr="004D0257">
        <w:rPr>
          <w:szCs w:val="24"/>
        </w:rPr>
        <w:t xml:space="preserve"> But what did the researchers think they were able to read on Sarah’s body? Derrida probes, “Why would it belong to the essence of truth to be due, and nude…that is to say, owed to veracity” (</w:t>
      </w:r>
      <w:r>
        <w:rPr>
          <w:szCs w:val="24"/>
        </w:rPr>
        <w:t xml:space="preserve">2008: </w:t>
      </w:r>
      <w:r w:rsidRPr="004D0257">
        <w:rPr>
          <w:szCs w:val="24"/>
        </w:rPr>
        <w:t xml:space="preserve">21)? And why did they think they could look at Sarah’s body and see </w:t>
      </w:r>
      <w:r w:rsidRPr="004D0257">
        <w:rPr>
          <w:i/>
          <w:szCs w:val="24"/>
        </w:rPr>
        <w:t xml:space="preserve">her </w:t>
      </w:r>
      <w:r w:rsidRPr="004D0257">
        <w:rPr>
          <w:szCs w:val="24"/>
        </w:rPr>
        <w:t xml:space="preserve">truth (only to be later compared to </w:t>
      </w:r>
      <w:r w:rsidRPr="004D0257">
        <w:rPr>
          <w:i/>
          <w:szCs w:val="24"/>
        </w:rPr>
        <w:t xml:space="preserve">their </w:t>
      </w:r>
      <w:r w:rsidRPr="004D0257">
        <w:rPr>
          <w:szCs w:val="24"/>
        </w:rPr>
        <w:t xml:space="preserve">bodies, for </w:t>
      </w:r>
      <w:r w:rsidRPr="004D0257">
        <w:rPr>
          <w:i/>
          <w:szCs w:val="24"/>
        </w:rPr>
        <w:t>their</w:t>
      </w:r>
      <w:r w:rsidRPr="004D0257">
        <w:rPr>
          <w:szCs w:val="24"/>
        </w:rPr>
        <w:t xml:space="preserve"> benefit)? What do we see when we look at the Other’s body, aside from our own projections? Perhaps Sarah’s, as well as the animal’s, body functions more as a reflective device, what Derrida calls a </w:t>
      </w:r>
      <w:r w:rsidRPr="004D0257">
        <w:rPr>
          <w:i/>
          <w:szCs w:val="24"/>
        </w:rPr>
        <w:t>psyché</w:t>
      </w:r>
      <w:r w:rsidRPr="004D0257">
        <w:rPr>
          <w:szCs w:val="24"/>
        </w:rPr>
        <w:t>, rather than a neutral text. Derrida asks, “</w:t>
      </w:r>
      <w:r w:rsidRPr="004D0257">
        <w:rPr>
          <w:szCs w:val="24"/>
          <w:lang w:val="en-US"/>
        </w:rPr>
        <w:t>But cannot this cat also be, deep within her eyes, my primary mirror</w:t>
      </w:r>
      <w:r>
        <w:rPr>
          <w:szCs w:val="24"/>
          <w:lang w:val="en-US"/>
        </w:rPr>
        <w:t>?</w:t>
      </w:r>
      <w:r w:rsidRPr="004D0257">
        <w:rPr>
          <w:szCs w:val="24"/>
          <w:lang w:val="en-US"/>
        </w:rPr>
        <w:t>” (</w:t>
      </w:r>
      <w:r>
        <w:rPr>
          <w:szCs w:val="24"/>
          <w:lang w:val="en-US"/>
        </w:rPr>
        <w:t xml:space="preserve">2008: </w:t>
      </w:r>
      <w:r w:rsidRPr="004D0257">
        <w:rPr>
          <w:szCs w:val="24"/>
          <w:lang w:val="en-US"/>
        </w:rPr>
        <w:t>51)</w:t>
      </w:r>
      <w:r w:rsidRPr="004D0257">
        <w:rPr>
          <w:rStyle w:val="FootnoteReference"/>
          <w:szCs w:val="24"/>
          <w:lang w:val="en-US"/>
        </w:rPr>
        <w:footnoteReference w:id="68"/>
      </w:r>
    </w:p>
    <w:p w:rsidR="002D463E" w:rsidRDefault="002D463E" w:rsidP="002D463E">
      <w:pPr>
        <w:rPr>
          <w:szCs w:val="24"/>
          <w:lang w:val="en-US"/>
        </w:rPr>
      </w:pPr>
    </w:p>
    <w:p w:rsidR="002D463E" w:rsidRPr="004D0257" w:rsidRDefault="002D463E" w:rsidP="002D463E">
      <w:pPr>
        <w:rPr>
          <w:szCs w:val="24"/>
        </w:rPr>
      </w:pPr>
      <w:r w:rsidRPr="004D0257">
        <w:rPr>
          <w:szCs w:val="24"/>
          <w:lang w:val="en-US"/>
        </w:rPr>
        <w:t xml:space="preserve">At this point, we might be wondering why Bartmann’s body was linked to </w:t>
      </w:r>
      <w:r w:rsidRPr="004D0257">
        <w:rPr>
          <w:i/>
          <w:szCs w:val="24"/>
          <w:lang w:val="en-US"/>
        </w:rPr>
        <w:t>animality</w:t>
      </w:r>
      <w:r w:rsidRPr="004D0257">
        <w:rPr>
          <w:szCs w:val="24"/>
          <w:lang w:val="en-US"/>
        </w:rPr>
        <w:t xml:space="preserve"> of all things. Was it not enough to label her a “freak,” or a “monster” to account for her unusual appearance? How did the animal become such a central figure of reference here, as it has been historically in the oppression of so many, including slaves and women? A turn to Derrida will be instructive. </w:t>
      </w:r>
    </w:p>
    <w:p w:rsidR="002D463E" w:rsidRDefault="002D463E" w:rsidP="002D463E">
      <w:pPr>
        <w:rPr>
          <w:szCs w:val="24"/>
        </w:rPr>
      </w:pPr>
    </w:p>
    <w:p w:rsidR="00A30E4F" w:rsidRPr="004D0257" w:rsidRDefault="00A30E4F" w:rsidP="002D463E">
      <w:pPr>
        <w:rPr>
          <w:szCs w:val="24"/>
        </w:rPr>
      </w:pPr>
    </w:p>
    <w:p w:rsidR="002D463E" w:rsidRPr="00554F4D" w:rsidRDefault="002D463E" w:rsidP="00066FE8">
      <w:pPr>
        <w:pStyle w:val="Heading3"/>
      </w:pPr>
      <w:r w:rsidRPr="00554F4D">
        <w:t>The Animal That Therefore I Am</w:t>
      </w:r>
    </w:p>
    <w:p w:rsidR="002D463E" w:rsidRDefault="002D463E" w:rsidP="002D463E">
      <w:pPr>
        <w:rPr>
          <w:szCs w:val="24"/>
          <w:lang w:val="en-US"/>
        </w:rPr>
      </w:pPr>
    </w:p>
    <w:p w:rsidR="002D463E" w:rsidRPr="004D0257" w:rsidRDefault="002D463E" w:rsidP="002D463E">
      <w:pPr>
        <w:rPr>
          <w:szCs w:val="24"/>
          <w:lang w:val="en-US"/>
        </w:rPr>
      </w:pPr>
      <w:r w:rsidRPr="004D0257">
        <w:rPr>
          <w:szCs w:val="24"/>
          <w:lang w:val="en-US"/>
        </w:rPr>
        <w:t>Derrida begins by asking a question, “Since so long ago, can we say that the anima</w:t>
      </w:r>
      <w:r>
        <w:rPr>
          <w:szCs w:val="24"/>
          <w:lang w:val="en-US"/>
        </w:rPr>
        <w:t>l has been looking at us?” (2008: 3)</w:t>
      </w:r>
      <w:r w:rsidRPr="004D0257">
        <w:rPr>
          <w:szCs w:val="24"/>
          <w:lang w:val="en-US"/>
        </w:rPr>
        <w:t xml:space="preserve"> This question has more than one sense for Derrida. First, he is speaking in the context of his writing, and how the question of the animal has always been of concern to him, both implicitly and explicitly. But his question also urges us to consider whether or not the animal has been just as important to human history as it has been to the history of Derrida’s writings. Has the animal been following us all along, just as it has followed Derrida (</w:t>
      </w:r>
      <w:r w:rsidRPr="004D0257">
        <w:rPr>
          <w:i/>
          <w:szCs w:val="24"/>
          <w:lang w:val="en-US"/>
        </w:rPr>
        <w:t>est-ce que l’animal nous suit toujours)</w:t>
      </w:r>
      <w:r w:rsidRPr="004D0257">
        <w:rPr>
          <w:szCs w:val="24"/>
          <w:lang w:val="en-US"/>
        </w:rPr>
        <w:t xml:space="preserve">? Has it been there not only explicitly, as our literal resource, but also implicitly, as our symbolic reference point? </w:t>
      </w:r>
      <w:r w:rsidRPr="004D0257">
        <w:rPr>
          <w:szCs w:val="24"/>
        </w:rPr>
        <w:t xml:space="preserve">Do our conceptions of humanity </w:t>
      </w:r>
      <w:r w:rsidRPr="004D0257">
        <w:rPr>
          <w:i/>
          <w:szCs w:val="24"/>
        </w:rPr>
        <w:t>depend</w:t>
      </w:r>
      <w:r w:rsidRPr="004D0257">
        <w:rPr>
          <w:szCs w:val="24"/>
        </w:rPr>
        <w:t xml:space="preserve"> on an originary invocation of the animal?</w:t>
      </w:r>
    </w:p>
    <w:p w:rsidR="002D463E" w:rsidRDefault="002D463E" w:rsidP="002D463E">
      <w:pPr>
        <w:rPr>
          <w:szCs w:val="24"/>
          <w:lang w:val="en-US"/>
        </w:rPr>
      </w:pPr>
    </w:p>
    <w:p w:rsidR="002D463E" w:rsidRPr="004D0257" w:rsidRDefault="002D463E" w:rsidP="002D463E">
      <w:pPr>
        <w:rPr>
          <w:rFonts w:eastAsia="Cambria"/>
          <w:color w:val="000000"/>
          <w:szCs w:val="24"/>
          <w:lang w:val="en-US"/>
        </w:rPr>
      </w:pPr>
      <w:r w:rsidRPr="004D0257">
        <w:rPr>
          <w:szCs w:val="24"/>
          <w:lang w:val="en-US"/>
        </w:rPr>
        <w:t xml:space="preserve">Stressing this question, Derrida famously describes his daily encounter with his little female cat, and the feeling of shame that arises in him at the moment he discovers himself naked in front of the animal’s gaze. </w:t>
      </w:r>
      <w:r w:rsidRPr="004D0257">
        <w:rPr>
          <w:szCs w:val="24"/>
        </w:rPr>
        <w:t>Derrida elaborates on his experience with his cat by reference to the biblical story in Genesis. We can recall that before Eve eats from the tree of knowledge, it is an animal, a serpent to be exact, who provokes her to do so. The serpent encourages Eve to eat from the tree of knowledge by telling her that “in the day ye eat thereof, then your eyes shall be opened, and ye shall be as gods, knowing good and evil” (Genesis 3:5). Having eaten from the tree, Eve then encourages Adam to do the same. Immediately both their “eyes…</w:t>
      </w:r>
      <w:r>
        <w:rPr>
          <w:szCs w:val="24"/>
        </w:rPr>
        <w:t xml:space="preserve"> </w:t>
      </w:r>
      <w:r w:rsidRPr="004D0257">
        <w:rPr>
          <w:szCs w:val="24"/>
        </w:rPr>
        <w:t xml:space="preserve">were opened” (3:7). Significantly, the moment they attain knowledge (and therefore the knowledge that they </w:t>
      </w:r>
      <w:r w:rsidRPr="004D0257">
        <w:rPr>
          <w:i/>
          <w:szCs w:val="24"/>
        </w:rPr>
        <w:t>are</w:t>
      </w:r>
      <w:r w:rsidRPr="004D0257">
        <w:rPr>
          <w:szCs w:val="24"/>
        </w:rPr>
        <w:t xml:space="preserve"> naked), they feel ashamed of their nudity and cover themselves up with fig leaves (3:7). Indeed, Adam is so ashamed of his nudity that he hides himself so that God will not discover him in his nudity (3:11). But God recognizes that in order for Adam to </w:t>
      </w:r>
      <w:r w:rsidRPr="004D0257">
        <w:rPr>
          <w:i/>
          <w:szCs w:val="24"/>
        </w:rPr>
        <w:t>know</w:t>
      </w:r>
      <w:r w:rsidRPr="004D0257">
        <w:rPr>
          <w:szCs w:val="24"/>
        </w:rPr>
        <w:t xml:space="preserve"> he is naked, he must have eaten from the tree of knowledge. God then banishes both Adam and Eve from the garden of Eden, but not before making them “coats of skins” to clothe them (3:21).</w:t>
      </w:r>
      <w:r w:rsidRPr="004D0257">
        <w:rPr>
          <w:rStyle w:val="FootnoteReference"/>
          <w:szCs w:val="24"/>
        </w:rPr>
        <w:footnoteReference w:id="69"/>
      </w:r>
    </w:p>
    <w:p w:rsidR="002D463E" w:rsidRDefault="002D463E" w:rsidP="002D463E">
      <w:pPr>
        <w:rPr>
          <w:szCs w:val="24"/>
        </w:rPr>
      </w:pPr>
    </w:p>
    <w:p w:rsidR="002D463E" w:rsidRPr="004D0257" w:rsidRDefault="002D463E" w:rsidP="002D463E">
      <w:pPr>
        <w:rPr>
          <w:szCs w:val="24"/>
        </w:rPr>
      </w:pPr>
      <w:r w:rsidRPr="004D0257">
        <w:rPr>
          <w:szCs w:val="24"/>
        </w:rPr>
        <w:t>We can readily discern that Adam and Eve’s knowledge, shame and nakedness coincide in the story of Genesis just as they do in Derrida’s encounter with his cat. Derrida becomes aware of his nakedness in front of the gaze of an animal much like Adam and Eve become ashamed of their nudity in front of God. We can note that Derrida, like Adam, is “overseen, under surveillance, under the gaze of Jehovah,” where God and the cat are paralleled (</w:t>
      </w:r>
      <w:r>
        <w:rPr>
          <w:szCs w:val="24"/>
        </w:rPr>
        <w:t xml:space="preserve">2008: </w:t>
      </w:r>
      <w:r w:rsidRPr="004D0257">
        <w:rPr>
          <w:szCs w:val="24"/>
        </w:rPr>
        <w:t>16). Adding to this what we have learned from the Genesis story, we might suppose that Derrida is really only</w:t>
      </w:r>
      <w:r w:rsidRPr="004D0257">
        <w:rPr>
          <w:i/>
          <w:szCs w:val="24"/>
        </w:rPr>
        <w:t xml:space="preserve"> ever</w:t>
      </w:r>
      <w:r w:rsidRPr="004D0257">
        <w:rPr>
          <w:szCs w:val="24"/>
        </w:rPr>
        <w:t xml:space="preserve"> ashamed of his nudity “in front” of the animal, because the animal presents the very conditions under which we conceive of ourselves as naked in the first place. In other words, since the serpent provided the very temptation that brought Eve to the knowledge of her nudity, the Biblical story can be taken to teach us that if it were not for the animal, humans would not experience shame about their nakedness at all. That is, it is the gaze of the animal that permits humans to see themselves as naked, and subsequently to feel ashamed. </w:t>
      </w:r>
      <w:r w:rsidRPr="004D0257">
        <w:rPr>
          <w:szCs w:val="24"/>
          <w:lang w:val="en-US"/>
        </w:rPr>
        <w:t>But “</w:t>
      </w:r>
      <w:r w:rsidRPr="004D0257">
        <w:rPr>
          <w:rFonts w:eastAsia="Cambria"/>
          <w:color w:val="000000"/>
          <w:szCs w:val="24"/>
          <w:lang w:val="en-US"/>
        </w:rPr>
        <w:t>Ashamed of what and naked before whom</w:t>
      </w:r>
      <w:r>
        <w:rPr>
          <w:rFonts w:eastAsia="Cambria"/>
          <w:color w:val="000000"/>
          <w:szCs w:val="24"/>
          <w:lang w:val="en-US"/>
        </w:rPr>
        <w:t>?</w:t>
      </w:r>
      <w:r w:rsidRPr="004D0257">
        <w:rPr>
          <w:rFonts w:eastAsia="Cambria"/>
          <w:color w:val="000000"/>
          <w:szCs w:val="24"/>
          <w:lang w:val="en-US"/>
        </w:rPr>
        <w:t>” (</w:t>
      </w:r>
      <w:r>
        <w:rPr>
          <w:rFonts w:eastAsia="Cambria"/>
          <w:color w:val="000000"/>
          <w:szCs w:val="24"/>
          <w:lang w:val="en-US"/>
        </w:rPr>
        <w:t>2008: 4)</w:t>
      </w:r>
      <w:r w:rsidRPr="004D0257">
        <w:rPr>
          <w:rFonts w:eastAsia="Cambria"/>
          <w:color w:val="000000"/>
          <w:szCs w:val="24"/>
          <w:lang w:val="en-US"/>
        </w:rPr>
        <w:t xml:space="preserve"> </w:t>
      </w:r>
      <w:r w:rsidRPr="004D0257">
        <w:rPr>
          <w:szCs w:val="24"/>
        </w:rPr>
        <w:t>Derrida states,</w:t>
      </w:r>
    </w:p>
    <w:p w:rsidR="002D463E" w:rsidRDefault="002D463E" w:rsidP="002D463E">
      <w:pPr>
        <w:spacing w:line="240" w:lineRule="auto"/>
        <w:ind w:left="737" w:right="737"/>
        <w:rPr>
          <w:szCs w:val="24"/>
        </w:rPr>
      </w:pPr>
    </w:p>
    <w:p w:rsidR="002D463E" w:rsidRPr="004D0257" w:rsidRDefault="002D463E" w:rsidP="00A30E4F">
      <w:pPr>
        <w:ind w:left="737" w:right="737"/>
        <w:rPr>
          <w:szCs w:val="24"/>
        </w:rPr>
      </w:pPr>
      <w:r w:rsidRPr="004D0257">
        <w:rPr>
          <w:szCs w:val="24"/>
        </w:rPr>
        <w:t>I often ask myself, just to see,</w:t>
      </w:r>
      <w:r w:rsidRPr="004D0257">
        <w:rPr>
          <w:i/>
          <w:szCs w:val="24"/>
        </w:rPr>
        <w:t xml:space="preserve"> who I am</w:t>
      </w:r>
      <w:r w:rsidRPr="004D0257">
        <w:rPr>
          <w:szCs w:val="24"/>
        </w:rPr>
        <w:t xml:space="preserve">-and who I am (following) at the moment when, caught naked, in silence, by the gaze of an animal, for example, the eyes of a cat, I have trouble, yes, a bad time overcoming my embarrassment. </w:t>
      </w:r>
    </w:p>
    <w:p w:rsidR="002D463E" w:rsidRPr="004D0257" w:rsidRDefault="002D463E" w:rsidP="00A30E4F">
      <w:pPr>
        <w:ind w:left="737" w:right="737" w:firstLine="720"/>
        <w:rPr>
          <w:szCs w:val="24"/>
        </w:rPr>
      </w:pPr>
      <w:r>
        <w:rPr>
          <w:szCs w:val="24"/>
        </w:rPr>
        <w:t>Whence this malaise? (2008:</w:t>
      </w:r>
      <w:r w:rsidRPr="004D0257">
        <w:rPr>
          <w:szCs w:val="24"/>
        </w:rPr>
        <w:t xml:space="preserve"> 3-4). </w:t>
      </w:r>
    </w:p>
    <w:p w:rsidR="002D463E" w:rsidRDefault="002D463E" w:rsidP="002D463E">
      <w:pPr>
        <w:spacing w:line="240" w:lineRule="auto"/>
        <w:rPr>
          <w:szCs w:val="24"/>
        </w:rPr>
      </w:pPr>
    </w:p>
    <w:p w:rsidR="002D463E" w:rsidRPr="004D0257" w:rsidRDefault="002D463E" w:rsidP="002D463E">
      <w:pPr>
        <w:rPr>
          <w:rFonts w:eastAsia="Cambria"/>
          <w:color w:val="000000"/>
          <w:szCs w:val="24"/>
          <w:lang w:val="en-US"/>
        </w:rPr>
      </w:pPr>
      <w:r w:rsidRPr="004D0257">
        <w:rPr>
          <w:szCs w:val="24"/>
        </w:rPr>
        <w:t xml:space="preserve">Why </w:t>
      </w:r>
      <w:r w:rsidRPr="004D0257">
        <w:rPr>
          <w:i/>
          <w:szCs w:val="24"/>
        </w:rPr>
        <w:t>would</w:t>
      </w:r>
      <w:r w:rsidRPr="004D0257">
        <w:rPr>
          <w:szCs w:val="24"/>
        </w:rPr>
        <w:t xml:space="preserve"> Derrida feel ashamed of his nakedness in front of an animal? As Derrida is well aware, “</w:t>
      </w:r>
      <w:r w:rsidRPr="004D0257">
        <w:rPr>
          <w:rFonts w:eastAsia="Cambria"/>
          <w:color w:val="000000"/>
          <w:szCs w:val="24"/>
          <w:lang w:val="en-US"/>
        </w:rPr>
        <w:t>It is generally thought… that the property unique to animals…</w:t>
      </w:r>
      <w:r>
        <w:rPr>
          <w:rFonts w:eastAsia="Cambria"/>
          <w:color w:val="000000"/>
          <w:szCs w:val="24"/>
          <w:lang w:val="en-US"/>
        </w:rPr>
        <w:t xml:space="preserve"> </w:t>
      </w:r>
      <w:r w:rsidRPr="004D0257">
        <w:rPr>
          <w:rFonts w:eastAsia="Cambria"/>
          <w:color w:val="000000"/>
          <w:szCs w:val="24"/>
          <w:lang w:val="en-US"/>
        </w:rPr>
        <w:t>is their being naked without knowing it” (</w:t>
      </w:r>
      <w:r>
        <w:rPr>
          <w:rFonts w:eastAsia="Cambria"/>
          <w:color w:val="000000"/>
          <w:szCs w:val="24"/>
          <w:lang w:val="en-US"/>
        </w:rPr>
        <w:t xml:space="preserve">2008: </w:t>
      </w:r>
      <w:r w:rsidRPr="004D0257">
        <w:rPr>
          <w:rFonts w:eastAsia="Cambria"/>
          <w:color w:val="000000"/>
          <w:szCs w:val="24"/>
          <w:lang w:val="en-US"/>
        </w:rPr>
        <w:t xml:space="preserve">4-5). </w:t>
      </w:r>
      <w:r w:rsidRPr="004D0257">
        <w:rPr>
          <w:szCs w:val="24"/>
        </w:rPr>
        <w:t xml:space="preserve">Animals should theoretically be the very beings in front of whom our naked selves should feel </w:t>
      </w:r>
      <w:r w:rsidRPr="004D0257">
        <w:rPr>
          <w:i/>
          <w:szCs w:val="24"/>
        </w:rPr>
        <w:t xml:space="preserve">least </w:t>
      </w:r>
      <w:r w:rsidRPr="004D0257">
        <w:rPr>
          <w:szCs w:val="24"/>
        </w:rPr>
        <w:t>ashamed, freeing us to run around shamelessly naked in front of our pets. As feminist philosopher Lisa Guenther puts the question, “</w:t>
      </w:r>
      <w:r w:rsidRPr="004D0257">
        <w:rPr>
          <w:rFonts w:eastAsia="Cambria"/>
          <w:color w:val="000000"/>
          <w:szCs w:val="24"/>
          <w:lang w:val="en-US"/>
        </w:rPr>
        <w:t>What is there to be ashamed of before a cat who seems impervious to shame, oblivious to the distinction between naked and clothe</w:t>
      </w:r>
      <w:r>
        <w:rPr>
          <w:rFonts w:eastAsia="Cambria"/>
          <w:color w:val="000000"/>
          <w:szCs w:val="24"/>
          <w:lang w:val="en-US"/>
        </w:rPr>
        <w:t>d?” (2009:</w:t>
      </w:r>
      <w:r w:rsidRPr="004D0257">
        <w:rPr>
          <w:rFonts w:eastAsia="Cambria"/>
          <w:color w:val="000000"/>
          <w:szCs w:val="24"/>
          <w:lang w:val="en-US"/>
        </w:rPr>
        <w:t xml:space="preserve"> 152). </w:t>
      </w:r>
      <w:r w:rsidRPr="004D0257">
        <w:rPr>
          <w:szCs w:val="24"/>
        </w:rPr>
        <w:t>So “whence this malaise” indeed (</w:t>
      </w:r>
      <w:r>
        <w:rPr>
          <w:szCs w:val="24"/>
        </w:rPr>
        <w:t xml:space="preserve">2009: </w:t>
      </w:r>
      <w:r w:rsidRPr="004D0257">
        <w:rPr>
          <w:szCs w:val="24"/>
        </w:rPr>
        <w:t>4)? Derrida asks, “</w:t>
      </w:r>
      <w:r w:rsidRPr="004D0257">
        <w:rPr>
          <w:rFonts w:eastAsia="Cambria"/>
          <w:color w:val="000000"/>
          <w:szCs w:val="24"/>
          <w:lang w:val="en-US"/>
        </w:rPr>
        <w:t xml:space="preserve">Before the cat that looks at me naked, would I be ashamed </w:t>
      </w:r>
      <w:r w:rsidRPr="004D0257">
        <w:rPr>
          <w:rFonts w:eastAsia="Cambria"/>
          <w:i/>
          <w:color w:val="000000"/>
          <w:szCs w:val="24"/>
          <w:lang w:val="en-US"/>
        </w:rPr>
        <w:t>like</w:t>
      </w:r>
      <w:r w:rsidRPr="004D0257">
        <w:rPr>
          <w:rFonts w:eastAsia="Cambria"/>
          <w:color w:val="000000"/>
          <w:szCs w:val="24"/>
          <w:lang w:val="en-US"/>
        </w:rPr>
        <w:t xml:space="preserve"> a beast that no longer has the sense of its nudity? Or, on the contrary, </w:t>
      </w:r>
      <w:r w:rsidRPr="004D0257">
        <w:rPr>
          <w:rFonts w:eastAsia="Cambria"/>
          <w:i/>
          <w:color w:val="000000"/>
          <w:szCs w:val="24"/>
          <w:lang w:val="en-US"/>
        </w:rPr>
        <w:t>like</w:t>
      </w:r>
      <w:r w:rsidRPr="004D0257">
        <w:rPr>
          <w:rFonts w:eastAsia="Cambria"/>
          <w:color w:val="000000"/>
          <w:szCs w:val="24"/>
          <w:lang w:val="en-US"/>
        </w:rPr>
        <w:t xml:space="preserve"> a man who retains the sense of his nudity? Who am I, therefore? Who is</w:t>
      </w:r>
      <w:r>
        <w:rPr>
          <w:rFonts w:eastAsia="Cambria"/>
          <w:color w:val="000000"/>
          <w:szCs w:val="24"/>
          <w:lang w:val="en-US"/>
        </w:rPr>
        <w:t xml:space="preserve"> it</w:t>
      </w:r>
      <w:r w:rsidRPr="004D0257">
        <w:rPr>
          <w:rFonts w:eastAsia="Cambria"/>
          <w:color w:val="000000"/>
          <w:szCs w:val="24"/>
          <w:lang w:val="en-US"/>
        </w:rPr>
        <w:t xml:space="preserve"> that I am (following)</w:t>
      </w:r>
      <w:r>
        <w:rPr>
          <w:rFonts w:eastAsia="Cambria"/>
          <w:color w:val="000000"/>
          <w:szCs w:val="24"/>
          <w:lang w:val="en-US"/>
        </w:rPr>
        <w:t>?</w:t>
      </w:r>
      <w:r w:rsidRPr="004D0257">
        <w:rPr>
          <w:rFonts w:eastAsia="Cambria"/>
          <w:color w:val="000000"/>
          <w:szCs w:val="24"/>
          <w:lang w:val="en-US"/>
        </w:rPr>
        <w:t>” (</w:t>
      </w:r>
      <w:r>
        <w:rPr>
          <w:rFonts w:eastAsia="Cambria"/>
          <w:color w:val="000000"/>
          <w:szCs w:val="24"/>
          <w:lang w:val="en-US"/>
        </w:rPr>
        <w:t>2008: 5-6)</w:t>
      </w:r>
      <w:r w:rsidRPr="004D0257">
        <w:rPr>
          <w:rFonts w:eastAsia="Cambria"/>
          <w:color w:val="000000"/>
          <w:szCs w:val="24"/>
          <w:lang w:val="en-US"/>
        </w:rPr>
        <w:t xml:space="preserve"> </w:t>
      </w:r>
    </w:p>
    <w:p w:rsidR="002D463E" w:rsidRDefault="002D463E" w:rsidP="002D463E">
      <w:pPr>
        <w:rPr>
          <w:rFonts w:eastAsia="Cambria"/>
          <w:color w:val="000000"/>
          <w:szCs w:val="24"/>
          <w:lang w:val="en-US"/>
        </w:rPr>
      </w:pPr>
    </w:p>
    <w:p w:rsidR="002D463E" w:rsidRPr="004D0257" w:rsidRDefault="002D463E" w:rsidP="002D463E">
      <w:pPr>
        <w:rPr>
          <w:rFonts w:eastAsia="Cambria"/>
          <w:color w:val="000000"/>
          <w:szCs w:val="24"/>
          <w:lang w:val="en-US"/>
        </w:rPr>
      </w:pPr>
      <w:r w:rsidRPr="004D0257">
        <w:rPr>
          <w:szCs w:val="24"/>
        </w:rPr>
        <w:t>Derrida seems to suggest that he is ashamed in at least one of two ways. First, Derrida’s humanity is supposed to prove that he is more than “just” an animal, and the human ability to clothe oneself is taken to be evidence of this. As Derrida notes, “In principle, with the exception of man, no animal has ever thought to dress itse</w:t>
      </w:r>
      <w:r>
        <w:rPr>
          <w:szCs w:val="24"/>
        </w:rPr>
        <w:t>lf,” or so the story goes (2008:</w:t>
      </w:r>
      <w:r w:rsidRPr="004D0257">
        <w:rPr>
          <w:szCs w:val="24"/>
        </w:rPr>
        <w:t xml:space="preserve"> 5). On this first version of shame, then, Derrida would feel embarrassed precisely because he is </w:t>
      </w:r>
      <w:r w:rsidRPr="004D0257">
        <w:rPr>
          <w:i/>
          <w:szCs w:val="24"/>
        </w:rPr>
        <w:t>not</w:t>
      </w:r>
      <w:r w:rsidRPr="004D0257">
        <w:rPr>
          <w:szCs w:val="24"/>
        </w:rPr>
        <w:t xml:space="preserve"> an animal, and therefore should be clothed like a human, not “naked as a beast” (4).</w:t>
      </w:r>
      <w:r w:rsidRPr="004D0257">
        <w:rPr>
          <w:rFonts w:eastAsia="Cambria"/>
          <w:color w:val="000000"/>
          <w:szCs w:val="24"/>
          <w:lang w:val="en-US"/>
        </w:rPr>
        <w:t xml:space="preserve"> </w:t>
      </w:r>
      <w:r w:rsidRPr="004D0257">
        <w:rPr>
          <w:szCs w:val="24"/>
          <w:lang w:val="en-US"/>
        </w:rPr>
        <w:t>On the second version though, Derrida is “ashamed of being ashamed” (21).</w:t>
      </w:r>
      <w:r w:rsidRPr="004D0257">
        <w:rPr>
          <w:szCs w:val="24"/>
        </w:rPr>
        <w:t xml:space="preserve"> Here, Derrida realizes how much he resembles an animal in its pure nakedness, </w:t>
      </w:r>
      <w:r w:rsidRPr="004D0257">
        <w:rPr>
          <w:i/>
          <w:szCs w:val="24"/>
        </w:rPr>
        <w:t>despite</w:t>
      </w:r>
      <w:r w:rsidRPr="004D0257">
        <w:rPr>
          <w:szCs w:val="24"/>
        </w:rPr>
        <w:t xml:space="preserve"> what he has been told about the stark differentiation between animals and humans. The animal then, in seeing Derrida naked, exposes his animality, and the realization that Derrida too is a body more animal than human. Under the animal’s gaze, then, the veneer of </w:t>
      </w:r>
      <w:r>
        <w:rPr>
          <w:szCs w:val="24"/>
        </w:rPr>
        <w:t>humanity</w:t>
      </w:r>
      <w:r w:rsidRPr="004D0257">
        <w:rPr>
          <w:szCs w:val="24"/>
        </w:rPr>
        <w:t xml:space="preserve"> is troubled. </w:t>
      </w:r>
    </w:p>
    <w:p w:rsidR="002D463E" w:rsidRDefault="002D463E" w:rsidP="002D463E">
      <w:pPr>
        <w:rPr>
          <w:szCs w:val="24"/>
        </w:rPr>
      </w:pPr>
    </w:p>
    <w:p w:rsidR="002D463E" w:rsidRPr="004D0257" w:rsidRDefault="002D463E" w:rsidP="002D463E">
      <w:pPr>
        <w:rPr>
          <w:szCs w:val="24"/>
        </w:rPr>
      </w:pPr>
      <w:r w:rsidRPr="004D0257">
        <w:rPr>
          <w:szCs w:val="24"/>
        </w:rPr>
        <w:t xml:space="preserve">In wondering about the various reasons </w:t>
      </w:r>
      <w:r>
        <w:rPr>
          <w:szCs w:val="24"/>
        </w:rPr>
        <w:t xml:space="preserve">for which </w:t>
      </w:r>
      <w:r w:rsidRPr="004D0257">
        <w:rPr>
          <w:szCs w:val="24"/>
        </w:rPr>
        <w:t xml:space="preserve">he might feel ashamed, we soon realize that Derrida’s experience with his cat is the very thing meant to challenge the assumption that the animal has less knowledge than the human. This is because his experience reveals an ability to feel ashamed in front of the animal </w:t>
      </w:r>
      <w:r w:rsidRPr="004D0257">
        <w:rPr>
          <w:i/>
          <w:szCs w:val="24"/>
        </w:rPr>
        <w:t>despite</w:t>
      </w:r>
      <w:r w:rsidRPr="004D0257">
        <w:rPr>
          <w:szCs w:val="24"/>
        </w:rPr>
        <w:t xml:space="preserve"> the judgments and arguments humanity has made regarding who can and cannot feel ashamed. If animals cannot have knowledge the way humans do, if they have not eaten from the tree of the knowledge of good and evil, then presumably Derrida would not think the cat could </w:t>
      </w:r>
      <w:r w:rsidRPr="004D0257">
        <w:rPr>
          <w:i/>
          <w:szCs w:val="24"/>
        </w:rPr>
        <w:t>know</w:t>
      </w:r>
      <w:r w:rsidRPr="004D0257">
        <w:rPr>
          <w:szCs w:val="24"/>
        </w:rPr>
        <w:t xml:space="preserve"> he is naked. Yet, he still feels ashamed and wants to cover up</w:t>
      </w:r>
      <w:r>
        <w:rPr>
          <w:szCs w:val="24"/>
        </w:rPr>
        <w:t>—</w:t>
      </w:r>
      <w:r w:rsidRPr="004D0257">
        <w:rPr>
          <w:szCs w:val="24"/>
        </w:rPr>
        <w:t xml:space="preserve">and this assumes the animal </w:t>
      </w:r>
      <w:r w:rsidRPr="004D0257">
        <w:rPr>
          <w:i/>
          <w:szCs w:val="24"/>
        </w:rPr>
        <w:t>does</w:t>
      </w:r>
      <w:r w:rsidRPr="004D0257">
        <w:rPr>
          <w:szCs w:val="24"/>
        </w:rPr>
        <w:t xml:space="preserve"> have knowledge about his nakedness. So, if Derrida feels ashamed, perhaps his classifications are mistaken. If an animal can know Derrida is naked, do animals really lack knowledge after all? The demarcation between human and animal intelligence is suddenly on shaky ground. In being surprised by his feeling of shame in front of the “unknowing” animal, then, Derrida has presented us with an event that shatters the strict categories we try to use to understand humans and animals. As Derrida explains, this experience takes place in a </w:t>
      </w:r>
      <w:r w:rsidRPr="004D0257">
        <w:rPr>
          <w:i/>
          <w:szCs w:val="24"/>
        </w:rPr>
        <w:t>contretemps</w:t>
      </w:r>
      <w:r w:rsidRPr="004D0257">
        <w:rPr>
          <w:szCs w:val="24"/>
        </w:rPr>
        <w:t>, a time before time that disrupts the normal course of events and that challenges the strict groupings according to which we understand humans and animals. “This contretemps has only just begun giving us trouble or doing us harm in the area of the knowledge of good and evil” (</w:t>
      </w:r>
      <w:r>
        <w:rPr>
          <w:szCs w:val="24"/>
        </w:rPr>
        <w:t xml:space="preserve">2008: </w:t>
      </w:r>
      <w:r w:rsidRPr="004D0257">
        <w:rPr>
          <w:szCs w:val="24"/>
        </w:rPr>
        <w:t xml:space="preserve">5). </w:t>
      </w:r>
    </w:p>
    <w:p w:rsidR="002D463E" w:rsidRDefault="002D463E" w:rsidP="002D463E">
      <w:pPr>
        <w:rPr>
          <w:szCs w:val="24"/>
        </w:rPr>
      </w:pPr>
    </w:p>
    <w:p w:rsidR="002D463E" w:rsidRDefault="002D463E" w:rsidP="002D463E">
      <w:pPr>
        <w:rPr>
          <w:szCs w:val="24"/>
        </w:rPr>
      </w:pPr>
      <w:r w:rsidRPr="004D0257">
        <w:rPr>
          <w:szCs w:val="24"/>
        </w:rPr>
        <w:t xml:space="preserve">In rattling the concepts we have used to pigeon-hole so-called animals and humans into identity categories, Derrida’s experience with his cat raises a series of perplexing questions. Who has knowledge and who does not? Who knows about their nakedness? And what does it mean for humans to be naked if they are naked only at the moment they become ashamed of this nudity in front of an Other, and have a concomitant desire to cover themselves up? Perhaps we are talking about “two </w:t>
      </w:r>
      <w:r w:rsidRPr="004D0257">
        <w:rPr>
          <w:i/>
          <w:szCs w:val="24"/>
        </w:rPr>
        <w:t>nudities without nudity</w:t>
      </w:r>
      <w:r w:rsidRPr="004D0257">
        <w:rPr>
          <w:szCs w:val="24"/>
        </w:rPr>
        <w:t>” in both cases here (</w:t>
      </w:r>
      <w:r>
        <w:rPr>
          <w:szCs w:val="24"/>
        </w:rPr>
        <w:t xml:space="preserve">2008: </w:t>
      </w:r>
      <w:r w:rsidRPr="004D0257">
        <w:rPr>
          <w:szCs w:val="24"/>
        </w:rPr>
        <w:t xml:space="preserve">5). The first case is that in which the animal is not truly naked because it does not know it is naked. The second is that in which the </w:t>
      </w:r>
      <w:r w:rsidRPr="004D0257">
        <w:rPr>
          <w:i/>
          <w:szCs w:val="24"/>
        </w:rPr>
        <w:t>human</w:t>
      </w:r>
      <w:r w:rsidRPr="004D0257">
        <w:rPr>
          <w:szCs w:val="24"/>
        </w:rPr>
        <w:t xml:space="preserve"> is not truly naked because it only becomes aware of its nakedness in relation to a feeling of shame, according to which it immediately desires to cover itself up. Either way, it is no longer clear who counts as naked in this scene. Human? Animal? Do these concepts make sense anymore</w:t>
      </w:r>
      <w:r w:rsidRPr="004D0257">
        <w:rPr>
          <w:i/>
          <w:szCs w:val="24"/>
        </w:rPr>
        <w:t>?</w:t>
      </w:r>
      <w:r w:rsidRPr="004D0257">
        <w:rPr>
          <w:szCs w:val="24"/>
        </w:rPr>
        <w:t xml:space="preserve"> Guenther captures the point well, </w:t>
      </w:r>
    </w:p>
    <w:p w:rsidR="00066FE8" w:rsidRPr="004D0257" w:rsidRDefault="00066FE8" w:rsidP="002D463E">
      <w:pPr>
        <w:rPr>
          <w:szCs w:val="24"/>
        </w:rPr>
      </w:pPr>
    </w:p>
    <w:p w:rsidR="002D463E" w:rsidRPr="004D0257" w:rsidRDefault="002D463E" w:rsidP="00EA4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37" w:right="737"/>
        <w:rPr>
          <w:rFonts w:eastAsia="Cambria"/>
          <w:color w:val="000000"/>
          <w:szCs w:val="24"/>
          <w:lang w:val="en-US"/>
        </w:rPr>
      </w:pPr>
      <w:r w:rsidRPr="004D0257">
        <w:rPr>
          <w:rFonts w:eastAsia="Cambria"/>
          <w:color w:val="000000"/>
          <w:szCs w:val="24"/>
          <w:lang w:val="en-US"/>
        </w:rPr>
        <w:t>Precisely because they are naked without knowing it, other animals are not naked in the same sense as human beings; their nakedness does not refer to a scandalous or improper lack of clothing, but rather to their proper way of being. ‘The animal, therefore, is not naked because it is naked’ (Derrida</w:t>
      </w:r>
      <w:r>
        <w:rPr>
          <w:rFonts w:eastAsia="Cambria"/>
          <w:color w:val="000000"/>
          <w:szCs w:val="24"/>
          <w:lang w:val="en-US"/>
        </w:rPr>
        <w:t>, 2002:</w:t>
      </w:r>
      <w:r w:rsidRPr="004D0257">
        <w:rPr>
          <w:rFonts w:eastAsia="Cambria"/>
          <w:color w:val="000000"/>
          <w:szCs w:val="24"/>
          <w:lang w:val="en-US"/>
        </w:rPr>
        <w:t xml:space="preserve"> 374), in other words, because it is merely naked, without an explicit awareness of this nakedness. ‘At least that is what is thought’. Human beings would seem to be distinctively aware of their nakedness; and yet, Derrida argues that this awareness turns on a feeling of shame which already covers the human body with cultural techniques that modify nakedness and mediate it in innumerable ways. ‘Man . . . would only be a man to the extent that he was able to be naked, that is to say to be ashamed, to know himself to be ashamed because he is no longer naked’ (Derrida</w:t>
      </w:r>
      <w:r>
        <w:rPr>
          <w:rFonts w:eastAsia="Cambria"/>
          <w:color w:val="000000"/>
          <w:szCs w:val="24"/>
          <w:lang w:val="en-US"/>
        </w:rPr>
        <w:t>, 2002:</w:t>
      </w:r>
      <w:r w:rsidRPr="004D0257">
        <w:rPr>
          <w:rFonts w:eastAsia="Cambria"/>
          <w:color w:val="000000"/>
          <w:szCs w:val="24"/>
          <w:lang w:val="en-US"/>
        </w:rPr>
        <w:t xml:space="preserve"> 374). Man only becomes aware of his nakedness at the moment when he feels the need for cloth</w:t>
      </w:r>
      <w:r>
        <w:rPr>
          <w:rFonts w:eastAsia="Cambria"/>
          <w:color w:val="000000"/>
          <w:szCs w:val="24"/>
          <w:lang w:val="en-US"/>
        </w:rPr>
        <w:t>ing that shame provokes, and so—</w:t>
      </w:r>
      <w:r w:rsidRPr="004D0257">
        <w:rPr>
          <w:rFonts w:eastAsia="Cambria"/>
          <w:color w:val="000000"/>
          <w:szCs w:val="24"/>
          <w:lang w:val="en-US"/>
        </w:rPr>
        <w:t>like the other anim</w:t>
      </w:r>
      <w:r>
        <w:rPr>
          <w:rFonts w:eastAsia="Cambria"/>
          <w:color w:val="000000"/>
          <w:szCs w:val="24"/>
          <w:lang w:val="en-US"/>
        </w:rPr>
        <w:t>als, if for different reasons—</w:t>
      </w:r>
      <w:r w:rsidRPr="004D0257">
        <w:rPr>
          <w:rFonts w:eastAsia="Cambria"/>
          <w:color w:val="000000"/>
          <w:szCs w:val="24"/>
          <w:lang w:val="en-US"/>
        </w:rPr>
        <w:t>man is not naked even when he is naked</w:t>
      </w:r>
      <w:r>
        <w:rPr>
          <w:rFonts w:eastAsia="Cambria"/>
          <w:color w:val="000000"/>
          <w:szCs w:val="24"/>
          <w:lang w:val="en-US"/>
        </w:rPr>
        <w:t xml:space="preserve"> (2009: 152-153)</w:t>
      </w:r>
      <w:r w:rsidRPr="004D0257">
        <w:rPr>
          <w:rFonts w:eastAsia="Cambria"/>
          <w:color w:val="000000"/>
          <w:szCs w:val="24"/>
          <w:lang w:val="en-US"/>
        </w:rPr>
        <w:t>.</w:t>
      </w:r>
      <w:r>
        <w:rPr>
          <w:rFonts w:eastAsia="Cambria"/>
          <w:color w:val="000000"/>
          <w:szCs w:val="24"/>
          <w:lang w:val="en-US"/>
        </w:rPr>
        <w:t xml:space="preserve"> </w:t>
      </w:r>
    </w:p>
    <w:p w:rsidR="002D463E" w:rsidRDefault="002D463E" w:rsidP="002D463E">
      <w:pPr>
        <w:spacing w:line="240" w:lineRule="auto"/>
        <w:rPr>
          <w:szCs w:val="24"/>
        </w:rPr>
      </w:pPr>
    </w:p>
    <w:p w:rsidR="002D463E" w:rsidRPr="004D0257" w:rsidRDefault="002D463E" w:rsidP="002D463E">
      <w:pPr>
        <w:rPr>
          <w:szCs w:val="24"/>
        </w:rPr>
      </w:pPr>
      <w:r w:rsidRPr="004D0257">
        <w:rPr>
          <w:szCs w:val="24"/>
        </w:rPr>
        <w:t>In covering ourselves up with various “cultural techniques” the moment we become aware of our nakedness, we too cannot claim to be properly naked. So by “deconstructing the opposition between naked and clothed,” Derrida has effectively opened up a locus for the rupture of the categories human and animal (</w:t>
      </w:r>
      <w:r>
        <w:rPr>
          <w:szCs w:val="24"/>
        </w:rPr>
        <w:t>Guenther, 2009:</w:t>
      </w:r>
      <w:r w:rsidRPr="004D0257">
        <w:rPr>
          <w:szCs w:val="24"/>
        </w:rPr>
        <w:t xml:space="preserve"> 152). In challenging the idea that humans are clothed and animals are naked, he has pushed the limit of humanity, both conceptually and subjectively. The animal exposes this limit, undressing the category of the human to the point where it is destabilized. Derrida states, “the gaze called ‘animal’ offers to my sight the abyssal limit of the human: the inhuman or the ahuman, the ends of man, that is to say, the bordercrossing from which vantage man dares to announce himself to himself” (</w:t>
      </w:r>
      <w:r>
        <w:rPr>
          <w:szCs w:val="24"/>
        </w:rPr>
        <w:t xml:space="preserve">2008: </w:t>
      </w:r>
      <w:r w:rsidRPr="004D0257">
        <w:rPr>
          <w:szCs w:val="24"/>
        </w:rPr>
        <w:t>12).</w:t>
      </w:r>
    </w:p>
    <w:p w:rsidR="002D463E" w:rsidRDefault="002D463E" w:rsidP="002D463E">
      <w:pPr>
        <w:rPr>
          <w:szCs w:val="24"/>
        </w:rPr>
      </w:pPr>
    </w:p>
    <w:p w:rsidR="002D463E" w:rsidRPr="004D0257" w:rsidRDefault="002D463E" w:rsidP="002D463E">
      <w:pPr>
        <w:rPr>
          <w:szCs w:val="24"/>
          <w:lang w:val="en-US"/>
        </w:rPr>
      </w:pPr>
      <w:r>
        <w:rPr>
          <w:szCs w:val="24"/>
        </w:rPr>
        <w:t xml:space="preserve">Following Derrida in </w:t>
      </w:r>
      <w:r w:rsidRPr="004D0257">
        <w:rPr>
          <w:szCs w:val="24"/>
        </w:rPr>
        <w:t xml:space="preserve">his meditation on the cat, then, we can restate the following question: Can I be naked all on my own? Or, relatedly, can I be human without the animal, the subjugated Other </w:t>
      </w:r>
      <w:r w:rsidRPr="004D0257">
        <w:rPr>
          <w:i/>
          <w:szCs w:val="24"/>
        </w:rPr>
        <w:t>par excellence</w:t>
      </w:r>
      <w:r w:rsidRPr="004D0257">
        <w:rPr>
          <w:szCs w:val="24"/>
        </w:rPr>
        <w:t xml:space="preserve">? Derrida explains that in relegating the human to a distinct, superior realm of difference from the animal, we have come to think that humans are the only animals that can be truly naked at all. This is because this feeling of shame reveals that we have knowledge of ourselves (as naked and otherwise), ostensibly unlike other animals. But we forget that this “knowledge” arose </w:t>
      </w:r>
      <w:r w:rsidRPr="004D0257">
        <w:rPr>
          <w:i/>
          <w:szCs w:val="24"/>
        </w:rPr>
        <w:t>only in connection to and by invocation of the animal</w:t>
      </w:r>
      <w:r w:rsidRPr="004D0257">
        <w:rPr>
          <w:szCs w:val="24"/>
        </w:rPr>
        <w:t>. And it is for this very reason that Derrida is able to deconstruct the opposition between naked animals and clothed humans and show how little essential truth lies therein. But, as Derrida puts it, almost all major philosophers have conveniently forgotten that the cat is always watching, “before me…</w:t>
      </w:r>
      <w:r>
        <w:rPr>
          <w:szCs w:val="24"/>
        </w:rPr>
        <w:t xml:space="preserve"> </w:t>
      </w:r>
      <w:r w:rsidRPr="004D0257">
        <w:rPr>
          <w:szCs w:val="24"/>
        </w:rPr>
        <w:t>behind me,” “I who am (following) after it” (</w:t>
      </w:r>
      <w:r>
        <w:rPr>
          <w:szCs w:val="24"/>
        </w:rPr>
        <w:t xml:space="preserve">2008: </w:t>
      </w:r>
      <w:r w:rsidRPr="004D0257">
        <w:rPr>
          <w:szCs w:val="24"/>
        </w:rPr>
        <w:t xml:space="preserve">11). </w:t>
      </w:r>
      <w:r w:rsidRPr="004D0257">
        <w:rPr>
          <w:rFonts w:eastAsia="Cambria"/>
          <w:color w:val="000000"/>
          <w:szCs w:val="24"/>
          <w:lang w:val="en-US"/>
        </w:rPr>
        <w:t xml:space="preserve">As he states, </w:t>
      </w:r>
      <w:r>
        <w:rPr>
          <w:rFonts w:eastAsia="Cambria"/>
          <w:color w:val="000000"/>
          <w:szCs w:val="24"/>
          <w:lang w:val="en-US"/>
        </w:rPr>
        <w:t>“Descartes forgets the serpent…</w:t>
      </w:r>
      <w:r w:rsidRPr="004D0257">
        <w:rPr>
          <w:rFonts w:eastAsia="Cambria"/>
          <w:color w:val="000000"/>
          <w:szCs w:val="24"/>
          <w:lang w:val="en-US"/>
        </w:rPr>
        <w:t xml:space="preserve"> that is to say, the behind. The serpent…</w:t>
      </w:r>
      <w:r>
        <w:rPr>
          <w:rFonts w:eastAsia="Cambria"/>
          <w:color w:val="000000"/>
          <w:szCs w:val="24"/>
          <w:lang w:val="en-US"/>
        </w:rPr>
        <w:t xml:space="preserve"> </w:t>
      </w:r>
      <w:r w:rsidRPr="004D0257">
        <w:rPr>
          <w:rFonts w:eastAsia="Cambria"/>
          <w:color w:val="000000"/>
          <w:szCs w:val="24"/>
          <w:lang w:val="en-US"/>
        </w:rPr>
        <w:t>is the animal’s behind…” (46). A turn back to the title of Derrida’s piece, “The Animal That Therefore I Am (More to Follow” (</w:t>
      </w:r>
      <w:r w:rsidRPr="004D0257">
        <w:rPr>
          <w:rFonts w:eastAsia="Cambria"/>
          <w:i/>
          <w:color w:val="000000"/>
          <w:szCs w:val="24"/>
          <w:lang w:val="en-US"/>
        </w:rPr>
        <w:t>L’animal que donc je suis)</w:t>
      </w:r>
      <w:r w:rsidRPr="004D0257">
        <w:rPr>
          <w:rFonts w:eastAsia="Cambria"/>
          <w:color w:val="000000"/>
          <w:szCs w:val="24"/>
          <w:lang w:val="en-US"/>
        </w:rPr>
        <w:t xml:space="preserve">, will be illuminating. </w:t>
      </w:r>
      <w:r w:rsidRPr="004D0257">
        <w:rPr>
          <w:szCs w:val="24"/>
        </w:rPr>
        <w:t xml:space="preserve">The French </w:t>
      </w:r>
      <w:r w:rsidRPr="004D0257">
        <w:rPr>
          <w:i/>
          <w:szCs w:val="24"/>
        </w:rPr>
        <w:t>je suis</w:t>
      </w:r>
      <w:r w:rsidRPr="004D0257">
        <w:rPr>
          <w:szCs w:val="24"/>
        </w:rPr>
        <w:t xml:space="preserve"> denotes </w:t>
      </w:r>
      <w:r>
        <w:rPr>
          <w:szCs w:val="24"/>
        </w:rPr>
        <w:t xml:space="preserve">both </w:t>
      </w:r>
      <w:r w:rsidRPr="004D0257">
        <w:rPr>
          <w:szCs w:val="24"/>
        </w:rPr>
        <w:t>the first-person construction</w:t>
      </w:r>
      <w:r>
        <w:rPr>
          <w:szCs w:val="24"/>
        </w:rPr>
        <w:t>s “I am” and</w:t>
      </w:r>
      <w:r w:rsidRPr="004D0257">
        <w:rPr>
          <w:szCs w:val="24"/>
        </w:rPr>
        <w:t xml:space="preserve"> “I follow,” stemming from the relevant verbs </w:t>
      </w:r>
      <w:r w:rsidRPr="004D0257">
        <w:rPr>
          <w:rFonts w:eastAsia="Cambria"/>
          <w:i/>
          <w:color w:val="262626"/>
          <w:szCs w:val="24"/>
          <w:lang w:val="en-US"/>
        </w:rPr>
        <w:t>ê</w:t>
      </w:r>
      <w:r w:rsidRPr="004D0257">
        <w:rPr>
          <w:i/>
          <w:szCs w:val="24"/>
        </w:rPr>
        <w:t>tre</w:t>
      </w:r>
      <w:r w:rsidRPr="004D0257">
        <w:rPr>
          <w:szCs w:val="24"/>
        </w:rPr>
        <w:t xml:space="preserve"> and </w:t>
      </w:r>
      <w:r w:rsidRPr="004D0257">
        <w:rPr>
          <w:i/>
          <w:szCs w:val="24"/>
        </w:rPr>
        <w:t>suivre</w:t>
      </w:r>
      <w:r w:rsidRPr="004D0257">
        <w:rPr>
          <w:szCs w:val="24"/>
        </w:rPr>
        <w:t xml:space="preserve"> (to be and to follow). In playing with the ambiguity of this verb formation, Derrida implicitly suggests that perhaps we cannot distinguish “I am” from “I follow” statements as readily as we might suppose. Indeed, he seems to suggest that </w:t>
      </w:r>
      <w:r w:rsidRPr="004D0257">
        <w:rPr>
          <w:i/>
          <w:szCs w:val="24"/>
        </w:rPr>
        <w:t>I am</w:t>
      </w:r>
      <w:r w:rsidRPr="004D0257">
        <w:rPr>
          <w:szCs w:val="24"/>
        </w:rPr>
        <w:t xml:space="preserve"> only as </w:t>
      </w:r>
      <w:r w:rsidRPr="004D0257">
        <w:rPr>
          <w:i/>
          <w:szCs w:val="24"/>
        </w:rPr>
        <w:t>I follow</w:t>
      </w:r>
      <w:r w:rsidRPr="004D0257">
        <w:rPr>
          <w:szCs w:val="24"/>
        </w:rPr>
        <w:t xml:space="preserve"> the animal, or that I exist only </w:t>
      </w:r>
      <w:r w:rsidRPr="004D0257">
        <w:rPr>
          <w:i/>
          <w:szCs w:val="24"/>
        </w:rPr>
        <w:t>after,</w:t>
      </w:r>
      <w:r w:rsidRPr="004D0257">
        <w:rPr>
          <w:szCs w:val="24"/>
        </w:rPr>
        <w:t xml:space="preserve"> and thus in relation to, the animal. </w:t>
      </w:r>
      <w:r w:rsidRPr="004D0257">
        <w:rPr>
          <w:szCs w:val="24"/>
          <w:lang w:val="en-US"/>
        </w:rPr>
        <w:t xml:space="preserve">So Derrida, in playing on the equivocation between </w:t>
      </w:r>
      <w:r w:rsidRPr="004D0257">
        <w:rPr>
          <w:i/>
          <w:szCs w:val="24"/>
          <w:lang w:val="en-US"/>
        </w:rPr>
        <w:t>suis</w:t>
      </w:r>
      <w:r w:rsidRPr="004D0257">
        <w:rPr>
          <w:szCs w:val="24"/>
          <w:lang w:val="en-US"/>
        </w:rPr>
        <w:t xml:space="preserve"> and </w:t>
      </w:r>
      <w:r w:rsidRPr="004D0257">
        <w:rPr>
          <w:i/>
          <w:szCs w:val="24"/>
          <w:lang w:val="en-US"/>
        </w:rPr>
        <w:t>suis</w:t>
      </w:r>
      <w:r w:rsidRPr="004D0257">
        <w:rPr>
          <w:szCs w:val="24"/>
          <w:lang w:val="en-US"/>
        </w:rPr>
        <w:t xml:space="preserve"> (to be and to follow) seeks to challenge the dominant metaphysical tradition by suggesting that “to follow” cannot be understood without “to be,” since it is not the case that we simply </w:t>
      </w:r>
      <w:r w:rsidRPr="004D0257">
        <w:rPr>
          <w:i/>
          <w:szCs w:val="24"/>
          <w:lang w:val="en-US"/>
        </w:rPr>
        <w:t>are</w:t>
      </w:r>
      <w:r w:rsidRPr="004D0257">
        <w:rPr>
          <w:szCs w:val="24"/>
          <w:lang w:val="en-US"/>
        </w:rPr>
        <w:t xml:space="preserve">, </w:t>
      </w:r>
      <w:r w:rsidRPr="004D0257">
        <w:rPr>
          <w:i/>
          <w:szCs w:val="24"/>
          <w:lang w:val="en-US"/>
        </w:rPr>
        <w:t>simpliciter</w:t>
      </w:r>
      <w:r w:rsidRPr="004D0257">
        <w:rPr>
          <w:szCs w:val="24"/>
          <w:lang w:val="en-US"/>
        </w:rPr>
        <w:t xml:space="preserve">, as if we do not </w:t>
      </w:r>
      <w:r w:rsidRPr="004D0257">
        <w:rPr>
          <w:i/>
          <w:szCs w:val="24"/>
          <w:lang w:val="en-US"/>
        </w:rPr>
        <w:t>follow</w:t>
      </w:r>
      <w:r w:rsidRPr="004D0257">
        <w:rPr>
          <w:szCs w:val="24"/>
          <w:lang w:val="en-US"/>
        </w:rPr>
        <w:t xml:space="preserve"> (or literally come out of) and relate to relevant others.</w:t>
      </w:r>
    </w:p>
    <w:p w:rsidR="002D463E" w:rsidRDefault="002D463E" w:rsidP="002D463E">
      <w:pPr>
        <w:rPr>
          <w:szCs w:val="24"/>
          <w:lang w:val="en-US"/>
        </w:rPr>
      </w:pPr>
    </w:p>
    <w:p w:rsidR="002D463E" w:rsidRDefault="002D463E" w:rsidP="00066FE8">
      <w:pPr>
        <w:rPr>
          <w:szCs w:val="24"/>
          <w:lang w:val="en-US"/>
        </w:rPr>
      </w:pPr>
      <w:r w:rsidRPr="004D0257">
        <w:rPr>
          <w:szCs w:val="24"/>
          <w:lang w:val="en-US"/>
        </w:rPr>
        <w:t xml:space="preserve">The importance of the sense in which the animal is “behind” us cannot be overstated in this discussion. The animal has been there since the genesis of time, and has accordingly had a defining background presence. </w:t>
      </w:r>
      <w:r>
        <w:rPr>
          <w:szCs w:val="24"/>
          <w:lang w:val="en-US"/>
        </w:rPr>
        <w:t>As the B</w:t>
      </w:r>
      <w:r w:rsidRPr="004D0257">
        <w:rPr>
          <w:szCs w:val="24"/>
          <w:lang w:val="en-US"/>
        </w:rPr>
        <w:t xml:space="preserve">ible makes clear, the animals were created </w:t>
      </w:r>
      <w:r w:rsidRPr="004D0257">
        <w:rPr>
          <w:i/>
          <w:szCs w:val="24"/>
          <w:lang w:val="en-US"/>
        </w:rPr>
        <w:t>before</w:t>
      </w:r>
      <w:r w:rsidRPr="004D0257">
        <w:rPr>
          <w:szCs w:val="24"/>
          <w:lang w:val="en-US"/>
        </w:rPr>
        <w:t xml:space="preserve"> man. In having been there all along, they have thus been able to serve as a ready and fast point of differentiation from which man was able to invent his self-conception. This is why it is the </w:t>
      </w:r>
      <w:r w:rsidRPr="004D0257">
        <w:rPr>
          <w:i/>
          <w:szCs w:val="24"/>
          <w:lang w:val="en-US"/>
        </w:rPr>
        <w:t>snake</w:t>
      </w:r>
      <w:r w:rsidRPr="004D0257">
        <w:rPr>
          <w:szCs w:val="24"/>
          <w:lang w:val="en-US"/>
        </w:rPr>
        <w:t xml:space="preserve"> in Genesis that brings Adam and Eve to knowledge of their nudity, because without the animal, the notion of human nakedness would never have gained its purchase. As Kelly Oliver puts it, “An animal, the snake </w:t>
      </w:r>
      <w:r>
        <w:rPr>
          <w:szCs w:val="24"/>
          <w:lang w:val="en-US"/>
        </w:rPr>
        <w:t>‘</w:t>
      </w:r>
      <w:r w:rsidRPr="004D0257">
        <w:rPr>
          <w:szCs w:val="24"/>
          <w:lang w:val="en-US"/>
        </w:rPr>
        <w:t>teaches</w:t>
      </w:r>
      <w:r>
        <w:rPr>
          <w:szCs w:val="24"/>
          <w:lang w:val="en-US"/>
        </w:rPr>
        <w:t>’</w:t>
      </w:r>
      <w:r w:rsidRPr="004D0257">
        <w:rPr>
          <w:szCs w:val="24"/>
          <w:lang w:val="en-US"/>
        </w:rPr>
        <w:t xml:space="preserve"> man that he </w:t>
      </w:r>
      <w:r>
        <w:rPr>
          <w:szCs w:val="24"/>
          <w:lang w:val="en-US"/>
        </w:rPr>
        <w:t>is distinct from other animals</w:t>
      </w:r>
      <w:r w:rsidRPr="004D0257">
        <w:rPr>
          <w:szCs w:val="24"/>
          <w:lang w:val="en-US"/>
        </w:rPr>
        <w:t>…</w:t>
      </w:r>
      <w:r>
        <w:rPr>
          <w:szCs w:val="24"/>
          <w:lang w:val="en-US"/>
        </w:rPr>
        <w:t xml:space="preserve"> </w:t>
      </w:r>
      <w:r w:rsidRPr="004D0257">
        <w:rPr>
          <w:szCs w:val="24"/>
          <w:lang w:val="en-US"/>
        </w:rPr>
        <w:t>This knowledge of his difference ushers in everything that we associate with humanity, from clothing an</w:t>
      </w:r>
      <w:r>
        <w:rPr>
          <w:szCs w:val="24"/>
          <w:lang w:val="en-US"/>
        </w:rPr>
        <w:t>d culture to time itself” (2009:</w:t>
      </w:r>
      <w:r w:rsidRPr="004D0257">
        <w:rPr>
          <w:szCs w:val="24"/>
          <w:lang w:val="en-US"/>
        </w:rPr>
        <w:t xml:space="preserve"> 143). </w:t>
      </w:r>
    </w:p>
    <w:p w:rsidR="0064541B" w:rsidRPr="00066FE8" w:rsidRDefault="0064541B" w:rsidP="00066FE8">
      <w:pPr>
        <w:rPr>
          <w:rFonts w:eastAsia="Cambria"/>
          <w:color w:val="000000"/>
          <w:szCs w:val="24"/>
          <w:lang w:val="en-US"/>
        </w:rPr>
      </w:pPr>
    </w:p>
    <w:p w:rsidR="002D463E" w:rsidRPr="002F14D1" w:rsidRDefault="002D463E" w:rsidP="00066FE8">
      <w:pPr>
        <w:pStyle w:val="Heading3"/>
        <w:rPr>
          <w:lang w:val="en-US"/>
        </w:rPr>
      </w:pPr>
      <w:r w:rsidRPr="002F14D1">
        <w:rPr>
          <w:lang w:val="en-US"/>
        </w:rPr>
        <w:t>“The Black Venus”</w:t>
      </w:r>
    </w:p>
    <w:p w:rsidR="002D463E" w:rsidRDefault="002D463E" w:rsidP="002D463E">
      <w:pPr>
        <w:rPr>
          <w:rFonts w:eastAsia="Cambria"/>
          <w:color w:val="000000"/>
          <w:szCs w:val="24"/>
          <w:lang w:val="en-US"/>
        </w:rPr>
      </w:pPr>
    </w:p>
    <w:p w:rsidR="002D463E" w:rsidRDefault="002D463E" w:rsidP="002D463E">
      <w:pPr>
        <w:rPr>
          <w:szCs w:val="24"/>
        </w:rPr>
      </w:pPr>
      <w:r w:rsidRPr="004D0257">
        <w:rPr>
          <w:rFonts w:eastAsia="Cambria"/>
          <w:color w:val="000000"/>
          <w:szCs w:val="24"/>
          <w:lang w:val="en-US"/>
        </w:rPr>
        <w:t>A turn back to the time of Sarah Bartmann reveals that her sexed and raced treatment likewise exposes an implied reliance on the figure of the animal, the animal that has been behind us, following us, since the time of Genesis, “the very genesis of</w:t>
      </w:r>
      <w:r w:rsidRPr="004D0257">
        <w:rPr>
          <w:rFonts w:eastAsia="Cambria"/>
          <w:i/>
          <w:color w:val="000000"/>
          <w:szCs w:val="24"/>
          <w:lang w:val="en-US"/>
        </w:rPr>
        <w:t xml:space="preserve"> </w:t>
      </w:r>
      <w:r>
        <w:rPr>
          <w:rFonts w:eastAsia="Cambria"/>
          <w:color w:val="000000"/>
          <w:szCs w:val="24"/>
          <w:lang w:val="en-US"/>
        </w:rPr>
        <w:t>time” (Derrida:</w:t>
      </w:r>
      <w:r w:rsidRPr="004D0257">
        <w:rPr>
          <w:rFonts w:eastAsia="Cambria"/>
          <w:color w:val="000000"/>
          <w:szCs w:val="24"/>
          <w:lang w:val="en-US"/>
        </w:rPr>
        <w:t xml:space="preserve"> 2008, 17). </w:t>
      </w:r>
      <w:r w:rsidRPr="004D0257">
        <w:rPr>
          <w:szCs w:val="24"/>
        </w:rPr>
        <w:t>Sharpley-Whiting explains, “</w:t>
      </w:r>
      <w:r w:rsidRPr="004D0257">
        <w:rPr>
          <w:szCs w:val="24"/>
          <w:lang w:val="en-US"/>
        </w:rPr>
        <w:t>by the nineteenth century, the ape, the monkey, and orangutan had become the interchangeable counterparts, the next of kin, to blacks in pseudoscientific and literary texts” (</w:t>
      </w:r>
      <w:r>
        <w:rPr>
          <w:szCs w:val="24"/>
          <w:lang w:val="en-US"/>
        </w:rPr>
        <w:t xml:space="preserve">1999: </w:t>
      </w:r>
      <w:r w:rsidRPr="004D0257">
        <w:rPr>
          <w:szCs w:val="24"/>
          <w:lang w:val="en-US"/>
        </w:rPr>
        <w:t xml:space="preserve">24). Accordingly, Cuvier and his researchers made a direct link between Bartmann’s “animal-like features” and her race. </w:t>
      </w:r>
      <w:r w:rsidRPr="004D0257">
        <w:rPr>
          <w:szCs w:val="24"/>
        </w:rPr>
        <w:t>During this time, the “light of white maleness” was thought to be able to “illuminate the dark continent” (</w:t>
      </w:r>
      <w:r>
        <w:rPr>
          <w:szCs w:val="24"/>
        </w:rPr>
        <w:t xml:space="preserve">1999: </w:t>
      </w:r>
      <w:r w:rsidRPr="004D0257">
        <w:rPr>
          <w:szCs w:val="24"/>
        </w:rPr>
        <w:t>24). In her paper “States of Undress: Nakedness and the Colonial Imagination,” Philippa Levine notes that the features Cuvier discovers on Bartmann remind him of the monkey, thus fating black Africans to a “state of barbarity” (</w:t>
      </w:r>
      <w:r>
        <w:rPr>
          <w:szCs w:val="24"/>
        </w:rPr>
        <w:t xml:space="preserve">2008: </w:t>
      </w:r>
      <w:r w:rsidRPr="004D0257">
        <w:rPr>
          <w:szCs w:val="24"/>
        </w:rPr>
        <w:t>26). Feminist and animal theorist Carol Adams likewise explains how black bodies were considered more animal-like and primitive than whites in the nineteenth century. Ironically, Adams explains that because black bodies were considered more animal-like, it was argued that they could survive without animal bodies (because they already had enoug</w:t>
      </w:r>
      <w:r>
        <w:rPr>
          <w:szCs w:val="24"/>
        </w:rPr>
        <w:t>h “animal body” in them?) (1990:</w:t>
      </w:r>
      <w:r w:rsidRPr="004D0257">
        <w:rPr>
          <w:szCs w:val="24"/>
        </w:rPr>
        <w:t xml:space="preserve"> </w:t>
      </w:r>
      <w:r>
        <w:rPr>
          <w:szCs w:val="24"/>
        </w:rPr>
        <w:t>40).  Why could “savages” survive on</w:t>
      </w:r>
      <w:r w:rsidRPr="004D0257">
        <w:rPr>
          <w:szCs w:val="24"/>
        </w:rPr>
        <w:t xml:space="preserve"> a diet w</w:t>
      </w:r>
      <w:r>
        <w:rPr>
          <w:szCs w:val="24"/>
        </w:rPr>
        <w:t>ithout animal food in contrast</w:t>
      </w:r>
      <w:r w:rsidRPr="004D0257">
        <w:rPr>
          <w:szCs w:val="24"/>
        </w:rPr>
        <w:t xml:space="preserve"> to Europeans? Quoting nineteenth-century doctor George Beard, Adams explains it was because “savages” were considered,</w:t>
      </w:r>
    </w:p>
    <w:p w:rsidR="002D463E" w:rsidRDefault="002D463E" w:rsidP="002D463E">
      <w:pPr>
        <w:spacing w:line="240" w:lineRule="auto"/>
        <w:ind w:left="737" w:right="737"/>
        <w:rPr>
          <w:szCs w:val="24"/>
        </w:rPr>
      </w:pPr>
    </w:p>
    <w:p w:rsidR="002D463E" w:rsidRPr="004D0257" w:rsidRDefault="002D463E" w:rsidP="00EA42E9">
      <w:pPr>
        <w:ind w:left="737" w:right="737"/>
        <w:rPr>
          <w:szCs w:val="24"/>
        </w:rPr>
      </w:pPr>
      <w:r w:rsidRPr="004D0257">
        <w:rPr>
          <w:szCs w:val="24"/>
        </w:rPr>
        <w:t>…little removed from the common animal stock from which they are derived. They are much nearer to the forms of life from which they feed than are the highly civilized brain-workers, and can therefore subsist on forms of life which would be most poisonous to us. Secondly, savages who feed on poor food are poor savages, and intellectually far inferior to the beef-eaters of any race (</w:t>
      </w:r>
      <w:r>
        <w:rPr>
          <w:szCs w:val="24"/>
        </w:rPr>
        <w:t xml:space="preserve">1990: </w:t>
      </w:r>
      <w:r w:rsidRPr="004D0257">
        <w:rPr>
          <w:szCs w:val="24"/>
        </w:rPr>
        <w:t xml:space="preserve">41). </w:t>
      </w:r>
    </w:p>
    <w:p w:rsidR="002D463E" w:rsidRDefault="002D463E" w:rsidP="002D463E">
      <w:pPr>
        <w:spacing w:line="240" w:lineRule="auto"/>
        <w:rPr>
          <w:szCs w:val="24"/>
        </w:rPr>
      </w:pPr>
    </w:p>
    <w:p w:rsidR="002D463E" w:rsidRPr="004D0257" w:rsidRDefault="002D463E" w:rsidP="002D463E">
      <w:pPr>
        <w:rPr>
          <w:szCs w:val="24"/>
        </w:rPr>
      </w:pPr>
      <w:r w:rsidRPr="004D0257">
        <w:rPr>
          <w:szCs w:val="24"/>
        </w:rPr>
        <w:t>Because black bodies were considered more animal than human, the way in which they were considered naked was defined accordingly. Levine explains that colonized people who did not wear clothing were understood in terms of primitive savagery. She explains that Europeans expected them to be totally shameless, and that “their lack of shame was in large measure definitional of the primitive” (</w:t>
      </w:r>
      <w:r>
        <w:rPr>
          <w:szCs w:val="24"/>
        </w:rPr>
        <w:t xml:space="preserve">2008: </w:t>
      </w:r>
      <w:r w:rsidRPr="004D0257">
        <w:rPr>
          <w:szCs w:val="24"/>
        </w:rPr>
        <w:t>197). The logic was that since these colonized people seemed to have no desire to cover up, they must be just as shameless and</w:t>
      </w:r>
      <w:r>
        <w:rPr>
          <w:szCs w:val="24"/>
        </w:rPr>
        <w:t xml:space="preserve"> “as naked as a beast” (Derrida, 2008:</w:t>
      </w:r>
      <w:r w:rsidRPr="004D0257">
        <w:rPr>
          <w:szCs w:val="24"/>
        </w:rPr>
        <w:t xml:space="preserve"> 4).</w:t>
      </w:r>
      <w:r w:rsidRPr="004D0257">
        <w:rPr>
          <w:rFonts w:eastAsia="Cambria"/>
          <w:color w:val="1A1818"/>
          <w:szCs w:val="24"/>
          <w:lang w:val="en-US"/>
        </w:rPr>
        <w:t xml:space="preserve"> “To be primitive was to be in a state of nature, unschooled, unselfconscious, lacking in shame and propriety—and nothing better signified the primitive than nakedness” (</w:t>
      </w:r>
      <w:r>
        <w:rPr>
          <w:rFonts w:eastAsia="Cambria"/>
          <w:color w:val="1A1818"/>
          <w:szCs w:val="24"/>
          <w:lang w:val="en-US"/>
        </w:rPr>
        <w:t xml:space="preserve">Levine, 2008: </w:t>
      </w:r>
      <w:r w:rsidRPr="004D0257">
        <w:rPr>
          <w:rFonts w:eastAsia="Cambria"/>
          <w:color w:val="1A1818"/>
          <w:szCs w:val="24"/>
          <w:lang w:val="en-US"/>
        </w:rPr>
        <w:t>192).</w:t>
      </w:r>
    </w:p>
    <w:p w:rsidR="002D463E" w:rsidRDefault="002D463E" w:rsidP="002D463E">
      <w:pPr>
        <w:rPr>
          <w:szCs w:val="24"/>
        </w:rPr>
      </w:pPr>
    </w:p>
    <w:p w:rsidR="002D463E" w:rsidRPr="004D0257" w:rsidRDefault="002D463E" w:rsidP="002D463E">
      <w:pPr>
        <w:rPr>
          <w:szCs w:val="24"/>
        </w:rPr>
      </w:pPr>
      <w:r w:rsidRPr="004D0257">
        <w:rPr>
          <w:szCs w:val="24"/>
        </w:rPr>
        <w:t xml:space="preserve">This assumption of shameless animal-like nakedness carried over to discussions about colonized people who </w:t>
      </w:r>
      <w:r w:rsidRPr="004D0257">
        <w:rPr>
          <w:i/>
          <w:szCs w:val="24"/>
        </w:rPr>
        <w:t>did</w:t>
      </w:r>
      <w:r w:rsidRPr="004D0257">
        <w:rPr>
          <w:szCs w:val="24"/>
        </w:rPr>
        <w:t xml:space="preserve"> wear clothing (</w:t>
      </w:r>
      <w:r>
        <w:rPr>
          <w:szCs w:val="24"/>
        </w:rPr>
        <w:t xml:space="preserve">Levine, 2008: </w:t>
      </w:r>
      <w:r w:rsidRPr="004D0257">
        <w:rPr>
          <w:szCs w:val="24"/>
        </w:rPr>
        <w:t>189). Levine explains that when Europeans requested photographs of undressed colonial bodies, part of the reason they thought they could get such pictures so easily was because colonial people, in their proximity to animals, were assumed to lack shame for their nakedness (</w:t>
      </w:r>
      <w:r>
        <w:rPr>
          <w:szCs w:val="24"/>
        </w:rPr>
        <w:t>2008: 193). However</w:t>
      </w:r>
      <w:r w:rsidRPr="004D0257">
        <w:rPr>
          <w:szCs w:val="24"/>
        </w:rPr>
        <w:t xml:space="preserve"> this was </w:t>
      </w:r>
      <w:r w:rsidRPr="00967C94">
        <w:rPr>
          <w:i/>
          <w:szCs w:val="24"/>
        </w:rPr>
        <w:t>in</w:t>
      </w:r>
      <w:r w:rsidRPr="004D0257">
        <w:rPr>
          <w:szCs w:val="24"/>
        </w:rPr>
        <w:t xml:space="preserve"> </w:t>
      </w:r>
      <w:r w:rsidRPr="004D0257">
        <w:rPr>
          <w:i/>
          <w:szCs w:val="24"/>
        </w:rPr>
        <w:t xml:space="preserve">spite </w:t>
      </w:r>
      <w:r w:rsidRPr="004D0257">
        <w:rPr>
          <w:szCs w:val="24"/>
        </w:rPr>
        <w:t xml:space="preserve">of the fact that many colonial people refused to undress for the camera and clearly </w:t>
      </w:r>
      <w:r w:rsidRPr="004D0257">
        <w:rPr>
          <w:i/>
          <w:szCs w:val="24"/>
        </w:rPr>
        <w:t>did</w:t>
      </w:r>
      <w:r w:rsidRPr="004D0257">
        <w:rPr>
          <w:szCs w:val="24"/>
        </w:rPr>
        <w:t xml:space="preserve"> experience discomfort and shame about their nudity. Levine explains that this fact was virtually ignored in favo</w:t>
      </w:r>
      <w:r>
        <w:rPr>
          <w:szCs w:val="24"/>
        </w:rPr>
        <w:t>u</w:t>
      </w:r>
      <w:r w:rsidRPr="004D0257">
        <w:rPr>
          <w:szCs w:val="24"/>
        </w:rPr>
        <w:t>r of the view that people like Bartmann were like animals, shamelessly naked, and with a mental capacity more “simian-like” than human (probably lacking a full knowledge or underst</w:t>
      </w:r>
      <w:r>
        <w:rPr>
          <w:szCs w:val="24"/>
        </w:rPr>
        <w:t>anding of their nakedness). As</w:t>
      </w:r>
      <w:r w:rsidRPr="004D0257">
        <w:rPr>
          <w:szCs w:val="24"/>
        </w:rPr>
        <w:t xml:space="preserve"> in Genesis, colonial people did not eat from the tree of knowledge. And just like animals, then, they were not ashamed of their own nakedness. How could they be, since they knew as little as a monkey knows about its “nakedness” (as the story would have it)? Furthermore, Levine explains that when colonized people were shown clothed in pictures, the fact that they did not properly </w:t>
      </w:r>
      <w:r w:rsidRPr="004D0257">
        <w:rPr>
          <w:i/>
          <w:szCs w:val="24"/>
        </w:rPr>
        <w:t>understand</w:t>
      </w:r>
      <w:r w:rsidRPr="004D0257">
        <w:rPr>
          <w:szCs w:val="24"/>
        </w:rPr>
        <w:t xml:space="preserve"> how to dress themselves was also highlighted (194). This further emphasizes the connection between knowledge (or a lack thereof), nakedness and animality in our discussion.</w:t>
      </w:r>
    </w:p>
    <w:p w:rsidR="002D463E" w:rsidRDefault="002D463E" w:rsidP="002D463E">
      <w:pPr>
        <w:rPr>
          <w:szCs w:val="24"/>
        </w:rPr>
      </w:pPr>
    </w:p>
    <w:p w:rsidR="002D463E" w:rsidRPr="004D0257" w:rsidRDefault="002D463E" w:rsidP="002D463E">
      <w:pPr>
        <w:rPr>
          <w:szCs w:val="24"/>
        </w:rPr>
      </w:pPr>
      <w:r w:rsidRPr="004D0257">
        <w:rPr>
          <w:szCs w:val="24"/>
        </w:rPr>
        <w:t>But how did Europeans account for the fact that they too were naked at times? Levine explains that Westerners erected a dichotomy “based centrally (if not exclusively) around a distinction between nakedness and nudity” (</w:t>
      </w:r>
      <w:r>
        <w:rPr>
          <w:szCs w:val="24"/>
        </w:rPr>
        <w:t xml:space="preserve">2008: </w:t>
      </w:r>
      <w:r w:rsidRPr="004D0257">
        <w:rPr>
          <w:szCs w:val="24"/>
        </w:rPr>
        <w:t xml:space="preserve">190). When Europeans were naked in pictures, they were </w:t>
      </w:r>
      <w:r w:rsidRPr="004D0257">
        <w:rPr>
          <w:i/>
          <w:szCs w:val="24"/>
        </w:rPr>
        <w:t>nude</w:t>
      </w:r>
      <w:r w:rsidRPr="004D0257">
        <w:rPr>
          <w:szCs w:val="24"/>
        </w:rPr>
        <w:t xml:space="preserve">, connoting a dignified and tasteful form of </w:t>
      </w:r>
      <w:r w:rsidRPr="004D0257">
        <w:rPr>
          <w:i/>
          <w:szCs w:val="24"/>
        </w:rPr>
        <w:t>human</w:t>
      </w:r>
      <w:r w:rsidRPr="004D0257">
        <w:rPr>
          <w:szCs w:val="24"/>
        </w:rPr>
        <w:t xml:space="preserve"> nakedness. When colonized people were naked, however, they were anything but regal, much closer to the ground like an animal than the sky like a god. The fact that nakedness in the case of the colonized meant savagery (</w:t>
      </w:r>
      <w:r w:rsidRPr="004D0257">
        <w:rPr>
          <w:i/>
          <w:szCs w:val="24"/>
        </w:rPr>
        <w:t xml:space="preserve">even </w:t>
      </w:r>
      <w:r w:rsidRPr="004D0257">
        <w:rPr>
          <w:szCs w:val="24"/>
        </w:rPr>
        <w:t>in the instance of those who wore clothing), but in the case of the Europeans, it meant dignity or “nudity,” reveals the arbitrary character and racist undertones of nineteenth-century “scientific” readings of the body. Quoting two nineteenth-century anthropologists, Levine notes that “‘the study of difference…</w:t>
      </w:r>
      <w:r>
        <w:rPr>
          <w:szCs w:val="24"/>
        </w:rPr>
        <w:t xml:space="preserve"> </w:t>
      </w:r>
      <w:r w:rsidRPr="004D0257">
        <w:rPr>
          <w:szCs w:val="24"/>
        </w:rPr>
        <w:t>was directed towards the creation of hierarchy’</w:t>
      </w:r>
      <w:r>
        <w:rPr>
          <w:szCs w:val="24"/>
        </w:rPr>
        <w:t xml:space="preserve">” (208). </w:t>
      </w:r>
      <w:r w:rsidRPr="004D0257">
        <w:rPr>
          <w:szCs w:val="24"/>
        </w:rPr>
        <w:t>Coming to their research with c</w:t>
      </w:r>
      <w:r>
        <w:rPr>
          <w:szCs w:val="24"/>
        </w:rPr>
        <w:t>onvictions about the primitiveness</w:t>
      </w:r>
      <w:r w:rsidRPr="004D0257">
        <w:rPr>
          <w:szCs w:val="24"/>
        </w:rPr>
        <w:t xml:space="preserve"> and savagery of native bodies, scientists were anything but objective, reading naked bodies in their own bedrooms in a manner completely different from naked bodies in the “wild.” </w:t>
      </w:r>
    </w:p>
    <w:p w:rsidR="002D463E" w:rsidRDefault="002D463E" w:rsidP="002D463E">
      <w:pPr>
        <w:rPr>
          <w:szCs w:val="24"/>
        </w:rPr>
      </w:pPr>
    </w:p>
    <w:p w:rsidR="002D463E" w:rsidRPr="004D0257" w:rsidRDefault="002D463E" w:rsidP="002D463E">
      <w:pPr>
        <w:rPr>
          <w:szCs w:val="24"/>
        </w:rPr>
      </w:pPr>
      <w:r w:rsidRPr="004D0257">
        <w:rPr>
          <w:szCs w:val="24"/>
        </w:rPr>
        <w:t xml:space="preserve">The interpretations of naked colonial bodies as </w:t>
      </w:r>
      <w:r w:rsidRPr="004D0257">
        <w:rPr>
          <w:i/>
          <w:szCs w:val="24"/>
        </w:rPr>
        <w:t>animal</w:t>
      </w:r>
      <w:r w:rsidRPr="004D0257">
        <w:rPr>
          <w:szCs w:val="24"/>
        </w:rPr>
        <w:t xml:space="preserve"> bodies cannot be overstated in this discussion. As has been shown, the figure of the animal became a central device in European colonists’ attempts to objectify and denigrate the colonized people. We need only turn to the time of slavery to see</w:t>
      </w:r>
      <w:r>
        <w:rPr>
          <w:szCs w:val="24"/>
        </w:rPr>
        <w:t xml:space="preserve"> how</w:t>
      </w:r>
      <w:r w:rsidRPr="004D0257">
        <w:rPr>
          <w:szCs w:val="24"/>
        </w:rPr>
        <w:t xml:space="preserve"> the links between colonial bodies and animals become even more acute. These comparisons have been well-documented. As intersectional theorist Cathryn Bailey explains, “The very </w:t>
      </w:r>
      <w:r w:rsidRPr="004D0257">
        <w:rPr>
          <w:i/>
          <w:szCs w:val="24"/>
        </w:rPr>
        <w:t>genesis</w:t>
      </w:r>
      <w:r w:rsidRPr="004D0257">
        <w:rPr>
          <w:szCs w:val="24"/>
        </w:rPr>
        <w:t xml:space="preserve"> of race in the United States occurred, in part, because of arguments that certain groups of humans were closer to animals in some evoluti</w:t>
      </w:r>
      <w:r>
        <w:rPr>
          <w:szCs w:val="24"/>
        </w:rPr>
        <w:t>onary sense” (my emphasis, 2007:</w:t>
      </w:r>
      <w:r w:rsidRPr="004D0257">
        <w:rPr>
          <w:szCs w:val="24"/>
        </w:rPr>
        <w:t xml:space="preserve"> 44). Importantly, Bailey explains that the animal did not simply serve a supplementary role in accounting for the oppression of Africans. Rather, the use of the animal helped </w:t>
      </w:r>
      <w:r w:rsidRPr="004D0257">
        <w:rPr>
          <w:i/>
          <w:szCs w:val="24"/>
        </w:rPr>
        <w:t>generate</w:t>
      </w:r>
      <w:r w:rsidRPr="004D0257">
        <w:rPr>
          <w:szCs w:val="24"/>
        </w:rPr>
        <w:t xml:space="preserve"> the correlative traits that were then accorded to both Europeans and Africans. “It is not simply that the ‘animalization’ of Africans and Native Americans justified their mistreatment, but that notions of whiteness and civility were created in contrast to it. This is especially evident in the racist anthropological pseudosciences that produced such images as the profiles of the chimpanzee, ‘negro,’ and ‘Greek’</w:t>
      </w:r>
      <w:r>
        <w:rPr>
          <w:szCs w:val="24"/>
        </w:rPr>
        <w:t>”</w:t>
      </w:r>
      <w:r w:rsidRPr="004D0257">
        <w:rPr>
          <w:szCs w:val="24"/>
        </w:rPr>
        <w:t xml:space="preserve"> (44). The figure of the animal, then, has not only been haunting the history of scientific racism since it began, but has been contributing to the very identity </w:t>
      </w:r>
      <w:r w:rsidRPr="004D0257">
        <w:rPr>
          <w:i/>
          <w:szCs w:val="24"/>
        </w:rPr>
        <w:t>formations</w:t>
      </w:r>
      <w:r w:rsidRPr="004D0257">
        <w:rPr>
          <w:szCs w:val="24"/>
        </w:rPr>
        <w:t xml:space="preserve"> of both oppressed and oppressor.</w:t>
      </w:r>
    </w:p>
    <w:p w:rsidR="002D463E" w:rsidRDefault="002D463E" w:rsidP="002D463E">
      <w:pPr>
        <w:rPr>
          <w:szCs w:val="24"/>
        </w:rPr>
      </w:pPr>
    </w:p>
    <w:p w:rsidR="002D463E" w:rsidRPr="004D0257" w:rsidRDefault="002D463E" w:rsidP="002D463E">
      <w:pPr>
        <w:rPr>
          <w:szCs w:val="24"/>
        </w:rPr>
      </w:pPr>
      <w:r w:rsidRPr="004D0257">
        <w:rPr>
          <w:szCs w:val="24"/>
        </w:rPr>
        <w:t>Bartmann’s supposed “untamed wildness” was also connected to a state of rampant, bestial sexuality linked to native people more generally in the nineteenth century. Lacking dignity and dress, the associations between raced people’s “state of nature and a potent sexuality were both long-standing and deep. To be a native was to be monstrously and overly sexual,” as wild as a beast (</w:t>
      </w:r>
      <w:r>
        <w:rPr>
          <w:szCs w:val="24"/>
        </w:rPr>
        <w:t xml:space="preserve">Levine, 2008: </w:t>
      </w:r>
      <w:r w:rsidRPr="004D0257">
        <w:rPr>
          <w:szCs w:val="24"/>
        </w:rPr>
        <w:t>193). Washington elaborates,</w:t>
      </w:r>
    </w:p>
    <w:p w:rsidR="002D463E" w:rsidRDefault="002D463E" w:rsidP="002D463E">
      <w:pPr>
        <w:spacing w:line="240" w:lineRule="auto"/>
        <w:ind w:left="737" w:right="737"/>
        <w:rPr>
          <w:szCs w:val="24"/>
        </w:rPr>
      </w:pPr>
    </w:p>
    <w:p w:rsidR="002D463E" w:rsidRPr="004D0257" w:rsidRDefault="002D463E" w:rsidP="00EA42E9">
      <w:pPr>
        <w:ind w:left="737" w:right="737"/>
        <w:rPr>
          <w:szCs w:val="24"/>
        </w:rPr>
      </w:pPr>
      <w:r w:rsidRPr="004D0257">
        <w:rPr>
          <w:szCs w:val="24"/>
        </w:rPr>
        <w:t xml:space="preserve">Khoi women’s dramatically endowed figures and especially their large, fleshy buttocks (medically termed </w:t>
      </w:r>
      <w:r w:rsidRPr="004D0257">
        <w:rPr>
          <w:i/>
          <w:szCs w:val="24"/>
        </w:rPr>
        <w:t>steatopygia</w:t>
      </w:r>
      <w:r w:rsidRPr="004D0257">
        <w:rPr>
          <w:szCs w:val="24"/>
        </w:rPr>
        <w:t>) were seen as marker</w:t>
      </w:r>
      <w:r>
        <w:rPr>
          <w:szCs w:val="24"/>
        </w:rPr>
        <w:t xml:space="preserve">s for their sexual prowess… </w:t>
      </w:r>
      <w:r w:rsidRPr="004D0257">
        <w:rPr>
          <w:szCs w:val="24"/>
        </w:rPr>
        <w:t>Most scientists agreed that the hot, damp tropical climate created a licentiousness and sexual profligacy in African women that was unk</w:t>
      </w:r>
      <w:r>
        <w:rPr>
          <w:szCs w:val="24"/>
        </w:rPr>
        <w:t>nown among European women (2006:</w:t>
      </w:r>
      <w:r w:rsidRPr="004D0257">
        <w:rPr>
          <w:szCs w:val="24"/>
        </w:rPr>
        <w:t xml:space="preserve"> 83). </w:t>
      </w:r>
    </w:p>
    <w:p w:rsidR="002D463E" w:rsidRDefault="002D463E" w:rsidP="00EA42E9">
      <w:pPr>
        <w:ind w:left="737" w:right="737"/>
        <w:rPr>
          <w:szCs w:val="24"/>
        </w:rPr>
      </w:pPr>
    </w:p>
    <w:p w:rsidR="002D463E" w:rsidRPr="004D0257" w:rsidRDefault="002D463E" w:rsidP="00EA42E9">
      <w:pPr>
        <w:ind w:left="737" w:right="737"/>
        <w:rPr>
          <w:szCs w:val="24"/>
        </w:rPr>
      </w:pPr>
      <w:r w:rsidRPr="004D0257">
        <w:rPr>
          <w:szCs w:val="24"/>
        </w:rPr>
        <w:t>B</w:t>
      </w:r>
      <w:r>
        <w:rPr>
          <w:szCs w:val="24"/>
        </w:rPr>
        <w:t>a</w:t>
      </w:r>
      <w:r w:rsidRPr="004D0257">
        <w:rPr>
          <w:szCs w:val="24"/>
        </w:rPr>
        <w:t>artma</w:t>
      </w:r>
      <w:r>
        <w:rPr>
          <w:szCs w:val="24"/>
        </w:rPr>
        <w:t>n</w:t>
      </w:r>
      <w:r w:rsidRPr="004D0257">
        <w:rPr>
          <w:szCs w:val="24"/>
        </w:rPr>
        <w:t xml:space="preserve">n </w:t>
      </w:r>
      <w:r>
        <w:rPr>
          <w:szCs w:val="24"/>
        </w:rPr>
        <w:t xml:space="preserve">[sic] </w:t>
      </w:r>
      <w:r w:rsidRPr="004D0257">
        <w:rPr>
          <w:szCs w:val="24"/>
        </w:rPr>
        <w:t xml:space="preserve">embodied not only the boundary between man and animal but also the lure of the bestial, the base, and grotesquely hypersexual (84).  </w:t>
      </w:r>
    </w:p>
    <w:p w:rsidR="002D463E" w:rsidRDefault="002D463E" w:rsidP="002D463E">
      <w:pPr>
        <w:spacing w:line="240" w:lineRule="auto"/>
        <w:rPr>
          <w:szCs w:val="24"/>
        </w:rPr>
      </w:pPr>
    </w:p>
    <w:p w:rsidR="002D463E" w:rsidRPr="004D0257" w:rsidRDefault="002D463E" w:rsidP="002D463E">
      <w:pPr>
        <w:rPr>
          <w:szCs w:val="24"/>
        </w:rPr>
      </w:pPr>
      <w:r w:rsidRPr="004D0257">
        <w:rPr>
          <w:szCs w:val="24"/>
        </w:rPr>
        <w:t>Although some people reportedly viewed Bartmann as a beautiful anomaly, it was in the conte</w:t>
      </w:r>
      <w:r>
        <w:rPr>
          <w:szCs w:val="24"/>
        </w:rPr>
        <w:t>xt of fascination and exoticism</w:t>
      </w:r>
      <w:r w:rsidRPr="004D0257">
        <w:rPr>
          <w:szCs w:val="24"/>
        </w:rPr>
        <w:t>, often coupled wi</w:t>
      </w:r>
      <w:r>
        <w:rPr>
          <w:szCs w:val="24"/>
        </w:rPr>
        <w:t>th jest (Sharpley-Whiting, 1999:</w:t>
      </w:r>
      <w:r w:rsidRPr="004D0257">
        <w:rPr>
          <w:szCs w:val="24"/>
        </w:rPr>
        <w:t xml:space="preserve"> 35). Sharpley-Whiting argues that any appreciation of Bartmann’s body as an exotic beauty was undercut by the “comedic verbiage” that was paired with it, and the reduction of her body to the “‘enormous butt’ of a joke” (</w:t>
      </w:r>
      <w:r>
        <w:rPr>
          <w:szCs w:val="24"/>
        </w:rPr>
        <w:t xml:space="preserve">1999: </w:t>
      </w:r>
      <w:r w:rsidRPr="004D0257">
        <w:rPr>
          <w:szCs w:val="24"/>
        </w:rPr>
        <w:t>34).  Any reference to Bartmann’s sexual a</w:t>
      </w:r>
      <w:r>
        <w:rPr>
          <w:szCs w:val="24"/>
        </w:rPr>
        <w:t>ttractiveness</w:t>
      </w:r>
      <w:r w:rsidRPr="004D0257">
        <w:rPr>
          <w:szCs w:val="24"/>
        </w:rPr>
        <w:t xml:space="preserve"> was likewise undermined by an admission that she was “ultimately sexually undesirable” to the male Europeans (39). If Bartmann’s sexed oppression was animalized, then presumably sexual attraction to her would be more akin to bestiality than anything else. </w:t>
      </w:r>
    </w:p>
    <w:p w:rsidR="002D463E" w:rsidRDefault="002D463E" w:rsidP="002D463E">
      <w:pPr>
        <w:rPr>
          <w:szCs w:val="24"/>
        </w:rPr>
      </w:pPr>
    </w:p>
    <w:p w:rsidR="002D463E" w:rsidRPr="004D0257" w:rsidRDefault="002D463E" w:rsidP="002D463E">
      <w:pPr>
        <w:rPr>
          <w:szCs w:val="24"/>
        </w:rPr>
      </w:pPr>
      <w:r w:rsidRPr="004D0257">
        <w:rPr>
          <w:szCs w:val="24"/>
        </w:rPr>
        <w:t xml:space="preserve">Aside from the savage-like sexuality invoked here, people like Bartmann were also </w:t>
      </w:r>
      <w:r w:rsidRPr="004D0257">
        <w:rPr>
          <w:i/>
          <w:szCs w:val="24"/>
        </w:rPr>
        <w:t>anatomically</w:t>
      </w:r>
      <w:r w:rsidRPr="004D0257">
        <w:rPr>
          <w:szCs w:val="24"/>
        </w:rPr>
        <w:t xml:space="preserve"> dissected with a research eye oriented specifically towards race. Upon her death, Cuvier “immediately unveiled Bartmann” in the name of science to reveal the most exciting “truth” of all about her race (</w:t>
      </w:r>
      <w:r>
        <w:rPr>
          <w:szCs w:val="24"/>
        </w:rPr>
        <w:t>Sharpley-Whiting, 1999: 2</w:t>
      </w:r>
      <w:r w:rsidRPr="004D0257">
        <w:rPr>
          <w:szCs w:val="24"/>
        </w:rPr>
        <w:t>7). Sharpley-Whiting</w:t>
      </w:r>
      <w:r>
        <w:rPr>
          <w:szCs w:val="24"/>
        </w:rPr>
        <w:t xml:space="preserve"> (1999)</w:t>
      </w:r>
      <w:r w:rsidRPr="004D0257">
        <w:rPr>
          <w:szCs w:val="24"/>
        </w:rPr>
        <w:t xml:space="preserve"> explains,</w:t>
      </w:r>
    </w:p>
    <w:p w:rsidR="002D463E" w:rsidRDefault="002D463E" w:rsidP="002D463E">
      <w:pPr>
        <w:spacing w:line="240" w:lineRule="auto"/>
        <w:ind w:left="737" w:right="737"/>
        <w:rPr>
          <w:szCs w:val="24"/>
        </w:rPr>
      </w:pPr>
    </w:p>
    <w:p w:rsidR="002D463E" w:rsidRPr="004D0257" w:rsidRDefault="002D463E" w:rsidP="00EA42E9">
      <w:pPr>
        <w:ind w:left="737" w:right="737"/>
        <w:rPr>
          <w:szCs w:val="24"/>
        </w:rPr>
      </w:pPr>
      <w:r w:rsidRPr="004D0257">
        <w:rPr>
          <w:szCs w:val="24"/>
        </w:rPr>
        <w:t xml:space="preserve">Bartmann’s “monstrous” steatopygia was quickly superseded by the treasure Cuvier discovered between her thighs (218): “We did not at all perceive the more remarkable particularity of her organization; she held her apron (‘tablier’) carefully hidden, it was between her thighs, and it was not until after her death that we knew she had it” (215-16). The famous “Hottentot apron” is a hypertrophy, or overdevelopment, of the labia minora or nymphae (27). </w:t>
      </w:r>
    </w:p>
    <w:p w:rsidR="002D463E" w:rsidRPr="004D0257" w:rsidRDefault="002D463E" w:rsidP="002D463E">
      <w:pPr>
        <w:spacing w:line="240" w:lineRule="auto"/>
        <w:ind w:left="720"/>
        <w:rPr>
          <w:szCs w:val="24"/>
        </w:rPr>
      </w:pPr>
    </w:p>
    <w:p w:rsidR="002D463E" w:rsidRPr="004D0257" w:rsidRDefault="002D463E" w:rsidP="002D463E">
      <w:pPr>
        <w:rPr>
          <w:szCs w:val="24"/>
        </w:rPr>
      </w:pPr>
      <w:r w:rsidRPr="004D0257">
        <w:rPr>
          <w:szCs w:val="24"/>
        </w:rPr>
        <w:t>Upon Bartmann’s death in 1815, Cuvier and his med</w:t>
      </w:r>
      <w:r>
        <w:rPr>
          <w:szCs w:val="24"/>
        </w:rPr>
        <w:t>ical team were able to pull open</w:t>
      </w:r>
      <w:r w:rsidRPr="004D0257">
        <w:rPr>
          <w:szCs w:val="24"/>
        </w:rPr>
        <w:t xml:space="preserve"> her legs, which she apparently kept closed while on display. What they discovered was a s</w:t>
      </w:r>
      <w:r>
        <w:rPr>
          <w:szCs w:val="24"/>
        </w:rPr>
        <w:t>o-called</w:t>
      </w:r>
      <w:r w:rsidRPr="004D0257">
        <w:rPr>
          <w:szCs w:val="24"/>
        </w:rPr>
        <w:t xml:space="preserve"> abnormally large set of inner labia, which they named an “apron.” This too was connected to Sarah’s supposed animality. “Was Sara</w:t>
      </w:r>
      <w:r>
        <w:rPr>
          <w:szCs w:val="24"/>
        </w:rPr>
        <w:t xml:space="preserve"> [sic]</w:t>
      </w:r>
      <w:r w:rsidRPr="004D0257">
        <w:rPr>
          <w:szCs w:val="24"/>
        </w:rPr>
        <w:t xml:space="preserve"> of ‘the last race of the human species, or the negro race and the first of the apes’ just above the orangutan?</w:t>
      </w:r>
      <w:r>
        <w:rPr>
          <w:szCs w:val="24"/>
        </w:rPr>
        <w:t>”</w:t>
      </w:r>
      <w:r w:rsidRPr="004D0257">
        <w:rPr>
          <w:szCs w:val="24"/>
        </w:rPr>
        <w:t xml:space="preserve"> (Crais </w:t>
      </w:r>
      <w:r>
        <w:rPr>
          <w:szCs w:val="24"/>
        </w:rPr>
        <w:t>and</w:t>
      </w:r>
      <w:r w:rsidRPr="004D0257">
        <w:rPr>
          <w:szCs w:val="24"/>
        </w:rPr>
        <w:t xml:space="preserve"> Skully, 200</w:t>
      </w:r>
      <w:r>
        <w:rPr>
          <w:szCs w:val="24"/>
        </w:rPr>
        <w:t>9:</w:t>
      </w:r>
      <w:r w:rsidRPr="004D0257">
        <w:rPr>
          <w:szCs w:val="24"/>
        </w:rPr>
        <w:t xml:space="preserve"> 135). According to authors</w:t>
      </w:r>
      <w:r>
        <w:rPr>
          <w:szCs w:val="24"/>
        </w:rPr>
        <w:t xml:space="preserve"> Clifton </w:t>
      </w:r>
      <w:r w:rsidRPr="004D0257">
        <w:rPr>
          <w:szCs w:val="24"/>
        </w:rPr>
        <w:t>Crais and</w:t>
      </w:r>
      <w:r>
        <w:rPr>
          <w:szCs w:val="24"/>
        </w:rPr>
        <w:t xml:space="preserve"> Pamela</w:t>
      </w:r>
      <w:r w:rsidRPr="004D0257">
        <w:rPr>
          <w:szCs w:val="24"/>
        </w:rPr>
        <w:t xml:space="preserve"> Skully, “Cuvier thought a key part of the answer lay in Sara’s</w:t>
      </w:r>
      <w:r>
        <w:rPr>
          <w:szCs w:val="24"/>
        </w:rPr>
        <w:t xml:space="preserve"> [sic]</w:t>
      </w:r>
      <w:r w:rsidRPr="004D0257">
        <w:rPr>
          <w:szCs w:val="24"/>
        </w:rPr>
        <w:t xml:space="preserve"> genitals” (135). In fact, it was on the basis of these supposed</w:t>
      </w:r>
      <w:r>
        <w:rPr>
          <w:szCs w:val="24"/>
        </w:rPr>
        <w:t>ly</w:t>
      </w:r>
      <w:r w:rsidRPr="004D0257">
        <w:rPr>
          <w:szCs w:val="24"/>
        </w:rPr>
        <w:t xml:space="preserve"> “overdeveloped” genitals that the Khoisan people were imagined to be a “divergent branch of humanity” in the first place, labelled “</w:t>
      </w:r>
      <w:r w:rsidRPr="004D0257">
        <w:rPr>
          <w:i/>
          <w:szCs w:val="24"/>
        </w:rPr>
        <w:t>Homo monstrosis monorchidei”</w:t>
      </w:r>
      <w:r w:rsidRPr="004D0257">
        <w:rPr>
          <w:szCs w:val="24"/>
        </w:rPr>
        <w:t xml:space="preserve"> by zoologist Carl Linnaeus (</w:t>
      </w:r>
      <w:r>
        <w:rPr>
          <w:szCs w:val="24"/>
        </w:rPr>
        <w:t>Washington, 2006:</w:t>
      </w:r>
      <w:r w:rsidRPr="004D0257">
        <w:rPr>
          <w:szCs w:val="24"/>
        </w:rPr>
        <w:t xml:space="preserve"> 83). It was thus that Cuvier was not interested in seeing the “Hottentot apron” in any manner other than as confirmation of Bartmann’s primitive animality.</w:t>
      </w:r>
    </w:p>
    <w:p w:rsidR="002D463E" w:rsidRDefault="002D463E" w:rsidP="002D463E">
      <w:pPr>
        <w:rPr>
          <w:szCs w:val="24"/>
        </w:rPr>
      </w:pPr>
    </w:p>
    <w:p w:rsidR="002D463E" w:rsidRPr="004D0257" w:rsidRDefault="002D463E" w:rsidP="002D463E">
      <w:pPr>
        <w:rPr>
          <w:szCs w:val="24"/>
        </w:rPr>
      </w:pPr>
      <w:r w:rsidRPr="004D0257">
        <w:rPr>
          <w:szCs w:val="24"/>
        </w:rPr>
        <w:t xml:space="preserve">The term ascribed to Bartmann’s genitals, the “Hottentot apron,” is ironically suitable. What truth did Cuvier think this apron revealed that Bartmann’s legs covered over? Are not the concepts </w:t>
      </w:r>
      <w:r>
        <w:rPr>
          <w:szCs w:val="24"/>
        </w:rPr>
        <w:t xml:space="preserve">that </w:t>
      </w:r>
      <w:r w:rsidRPr="004D0257">
        <w:rPr>
          <w:szCs w:val="24"/>
        </w:rPr>
        <w:t>Cuvier and his researchers used to describe Bartmann’s “overdevelopment” just as much aprons themselves, coverings that supposedly reveal the truth, but really do more to obscure than anything? Do we learn about Bartmann’s “animality” when looking at her genitals, her “monstrous” sexuality? Or is this not simply another historical moment in which, as Nietzsche would say, the powerful define the powerless in line with their own agendas, and employ the animal as that which “stands in for what we cannot think and what we cannot accept about ourselves” (</w:t>
      </w:r>
      <w:r>
        <w:rPr>
          <w:szCs w:val="24"/>
        </w:rPr>
        <w:t>as cited in Oliver, 2010: 279)?</w:t>
      </w:r>
    </w:p>
    <w:p w:rsidR="002D463E" w:rsidRDefault="002D463E" w:rsidP="002D463E">
      <w:pPr>
        <w:rPr>
          <w:szCs w:val="24"/>
        </w:rPr>
      </w:pPr>
    </w:p>
    <w:p w:rsidR="002D463E" w:rsidRDefault="002D463E" w:rsidP="002D463E">
      <w:pPr>
        <w:rPr>
          <w:szCs w:val="24"/>
        </w:rPr>
      </w:pPr>
      <w:r w:rsidRPr="004D0257">
        <w:rPr>
          <w:szCs w:val="24"/>
        </w:rPr>
        <w:t>In discussing Bartmann’s sex and sexuality, it looks like the serpent has again reared its ugly head. Not only was Bartmann’s “savage-like sexuality” connected to wild animal urges, but her genitals were also taken to be further “evidence” of her animal-like status. If the animal did not exist, would Sarah’s oppression have played itself out the way it did? Would she have been paraded around as a spectacle in a cage, considered bestial in her sexuality, and ape-like anatomically? The answer is clearly no. In fact, the animal played such a central role in Bartmann’s oppression that, without it, her story would be so different we could no longer characterize it. Animality shaped Bartmann’s racial body, her status as part of the “savage,” colonial world versus the “civilized” world, and her sexuality all at once. To undermine the centrality of the animal figure in her oppression would be, as Derrida states, “simply too asinine [</w:t>
      </w:r>
      <w:r w:rsidRPr="004D0257">
        <w:rPr>
          <w:i/>
          <w:szCs w:val="24"/>
        </w:rPr>
        <w:t>bête</w:t>
      </w:r>
      <w:r>
        <w:rPr>
          <w:szCs w:val="24"/>
        </w:rPr>
        <w:t>]” (2008:</w:t>
      </w:r>
      <w:r w:rsidRPr="004D0257">
        <w:rPr>
          <w:szCs w:val="24"/>
        </w:rPr>
        <w:t xml:space="preserve"> 30). </w:t>
      </w:r>
    </w:p>
    <w:p w:rsidR="002D463E" w:rsidRPr="004D0257" w:rsidRDefault="002D463E" w:rsidP="002D463E">
      <w:pPr>
        <w:rPr>
          <w:szCs w:val="24"/>
        </w:rPr>
      </w:pPr>
    </w:p>
    <w:p w:rsidR="002D463E" w:rsidRPr="002F14D1" w:rsidRDefault="002D463E" w:rsidP="00066FE8">
      <w:pPr>
        <w:pStyle w:val="Heading3"/>
      </w:pPr>
      <w:r w:rsidRPr="002F14D1">
        <w:t>Varied Oppressions</w:t>
      </w:r>
    </w:p>
    <w:p w:rsidR="002D463E" w:rsidRDefault="002D463E" w:rsidP="002D463E">
      <w:pPr>
        <w:rPr>
          <w:szCs w:val="24"/>
        </w:rPr>
      </w:pPr>
    </w:p>
    <w:p w:rsidR="002D463E" w:rsidRPr="004D0257" w:rsidRDefault="002D463E" w:rsidP="002D463E">
      <w:pPr>
        <w:rPr>
          <w:szCs w:val="24"/>
        </w:rPr>
      </w:pPr>
      <w:r w:rsidRPr="004D0257">
        <w:rPr>
          <w:szCs w:val="24"/>
        </w:rPr>
        <w:t>One worry with Levine’s excellent piece on states of undress in colonial times concerns her lack of an interrogation of the strict (and, as I have been arguing, overriding) binary between animality and humanity that is invoked by Cuvier and his fellow researchers. In defense of the colonized, she states that “colonials were not always as shameless about nudity as Europeans seemed to expect them to be” and the “belief that lack of shame was in large measure definitional of the primitive was not always consonant with facts” (</w:t>
      </w:r>
      <w:r>
        <w:rPr>
          <w:szCs w:val="24"/>
        </w:rPr>
        <w:t xml:space="preserve">2008: </w:t>
      </w:r>
      <w:r w:rsidRPr="004D0257">
        <w:rPr>
          <w:szCs w:val="24"/>
        </w:rPr>
        <w:t xml:space="preserve">197). But although attempts to show that colonized people defied the stereotype of shamelessness raises the natives back up to the status of humanity, I worry that it does so only at the </w:t>
      </w:r>
      <w:r w:rsidRPr="004D0257">
        <w:rPr>
          <w:i/>
          <w:szCs w:val="24"/>
        </w:rPr>
        <w:t>expense</w:t>
      </w:r>
      <w:r w:rsidRPr="004D0257">
        <w:rPr>
          <w:szCs w:val="24"/>
        </w:rPr>
        <w:t xml:space="preserve"> of the animal, and, ultimately, at the expense of all oppressed others whose identity and treatment have been so tightly linked to animality. As feminist and race theorists have variously argued, efforts to prove that oppressed persons can and do meet the norms of the dominant (“rational”-white-male-human) class simply reasserts the power of the oppressor and, even more dangerously, validates the idea that these norms </w:t>
      </w:r>
      <w:r w:rsidRPr="004D0257">
        <w:rPr>
          <w:i/>
          <w:szCs w:val="24"/>
        </w:rPr>
        <w:t>should</w:t>
      </w:r>
      <w:r w:rsidRPr="004D0257">
        <w:rPr>
          <w:szCs w:val="24"/>
        </w:rPr>
        <w:t xml:space="preserve"> be met in order for the oppressed to earn the treatment they seek. As legal theorist Catharine MacKinnon has noted, t</w:t>
      </w:r>
      <w:r>
        <w:rPr>
          <w:szCs w:val="24"/>
        </w:rPr>
        <w:t>he “‘like-us’ model of sameness</w:t>
      </w:r>
      <w:r w:rsidRPr="004D0257">
        <w:rPr>
          <w:szCs w:val="24"/>
        </w:rPr>
        <w:t>… misses animals on their own terms, just as it ha</w:t>
      </w:r>
      <w:r>
        <w:rPr>
          <w:szCs w:val="24"/>
        </w:rPr>
        <w:t>s missed women on theirs” (2004:</w:t>
      </w:r>
      <w:r w:rsidRPr="004D0257">
        <w:rPr>
          <w:szCs w:val="24"/>
        </w:rPr>
        <w:t xml:space="preserve"> 264). Attempts to bring animals or animal-like humans back up</w:t>
      </w:r>
      <w:r>
        <w:rPr>
          <w:szCs w:val="24"/>
        </w:rPr>
        <w:t xml:space="preserve"> to</w:t>
      </w:r>
      <w:r w:rsidRPr="004D0257">
        <w:rPr>
          <w:szCs w:val="24"/>
        </w:rPr>
        <w:t xml:space="preserve"> the status of humanity only maintain the very binary that helped generate oppression in its myriad forms in the firs</w:t>
      </w:r>
      <w:r>
        <w:rPr>
          <w:szCs w:val="24"/>
        </w:rPr>
        <w:t>t place. Derrida’s discussion of</w:t>
      </w:r>
      <w:r w:rsidRPr="004D0257">
        <w:rPr>
          <w:szCs w:val="24"/>
        </w:rPr>
        <w:t xml:space="preserve"> the deeply entrenched animal-human divide should make us especially wary, then, of all attempts to rescue oppressed victims by saying they are unlike animals, since, as has been shown, the animal-human divide has been at work in the history of oppression since the beginning, with a presence both insidious and tenacious. </w:t>
      </w:r>
    </w:p>
    <w:p w:rsidR="002D463E" w:rsidRDefault="002D463E" w:rsidP="002D463E">
      <w:pPr>
        <w:rPr>
          <w:szCs w:val="24"/>
        </w:rPr>
      </w:pPr>
    </w:p>
    <w:p w:rsidR="002D463E" w:rsidRPr="004D0257" w:rsidRDefault="002D463E" w:rsidP="002D463E">
      <w:pPr>
        <w:rPr>
          <w:szCs w:val="24"/>
        </w:rPr>
      </w:pPr>
      <w:r w:rsidRPr="004D0257">
        <w:rPr>
          <w:szCs w:val="24"/>
        </w:rPr>
        <w:t>The question now becomes</w:t>
      </w:r>
      <w:r>
        <w:rPr>
          <w:szCs w:val="24"/>
        </w:rPr>
        <w:t>—</w:t>
      </w:r>
      <w:r w:rsidRPr="004D0257">
        <w:rPr>
          <w:szCs w:val="24"/>
        </w:rPr>
        <w:t>how might we challenge this deep-seated animal-human binary that has been so central to the history of oppression? We can recall that Derrida’s discussion about his feeling of shame in front of the animal led to a series of questions, none of which could be definitively answered. Who is Derrida in this moment? Is his shame human, or animal? Why feel shame in front of the being who supposedly does not know? The questions dizzy the mind. “Who comes before and who is after whom? I no longer know which</w:t>
      </w:r>
      <w:r>
        <w:rPr>
          <w:szCs w:val="24"/>
        </w:rPr>
        <w:t xml:space="preserve"> end my head is. Madness” (2008:</w:t>
      </w:r>
      <w:r w:rsidRPr="004D0257">
        <w:rPr>
          <w:szCs w:val="24"/>
        </w:rPr>
        <w:t xml:space="preserve"> 10). In this moment, in this </w:t>
      </w:r>
      <w:r w:rsidRPr="004D0257">
        <w:rPr>
          <w:i/>
          <w:szCs w:val="24"/>
        </w:rPr>
        <w:t>contretemps</w:t>
      </w:r>
      <w:r w:rsidRPr="004D0257">
        <w:rPr>
          <w:szCs w:val="24"/>
        </w:rPr>
        <w:t>, Derrida is calling our attention to his experience with the cat, “before” identity is named, “before” the concepts we have used to pigeon-hole so-called animals and humans. The notions encounter a slippage. Who is naked here, and who is not? The moment is thoroughly disruptive. My “humanity” and the cat’s “animality” are destabilized. He asks, “Who was born first, before the names</w:t>
      </w:r>
      <w:r>
        <w:rPr>
          <w:szCs w:val="24"/>
        </w:rPr>
        <w:t>?” (18)</w:t>
      </w:r>
      <w:r w:rsidRPr="004D0257">
        <w:rPr>
          <w:szCs w:val="24"/>
        </w:rPr>
        <w:t xml:space="preserve"> We are no longer sure. The concepts are not static; they are not reliable. In fact, the only thing on the horizon is pure possibility. “God’s exposure to surprise, to the event of what is going to occur between man and animal, this time before time has always made me dizzy. As if someone said, in the form of a promise or a threat: ‘You</w:t>
      </w:r>
      <w:r>
        <w:rPr>
          <w:szCs w:val="24"/>
        </w:rPr>
        <w:t>’</w:t>
      </w:r>
      <w:r w:rsidRPr="004D0257">
        <w:rPr>
          <w:szCs w:val="24"/>
        </w:rPr>
        <w:t>ll</w:t>
      </w:r>
      <w:r>
        <w:rPr>
          <w:szCs w:val="24"/>
        </w:rPr>
        <w:t xml:space="preserve"> </w:t>
      </w:r>
      <w:r w:rsidRPr="004D0257">
        <w:rPr>
          <w:szCs w:val="24"/>
        </w:rPr>
        <w:t>see what you will see,’ without knowing what was going to end up happening” (17</w:t>
      </w:r>
      <w:r>
        <w:rPr>
          <w:szCs w:val="24"/>
        </w:rPr>
        <w:t>). It is interesting to note that</w:t>
      </w:r>
      <w:r w:rsidRPr="004D0257">
        <w:rPr>
          <w:szCs w:val="24"/>
        </w:rPr>
        <w:t xml:space="preserve">, in this vertiginous moment, the one who is supposed to be subordinate is the one troubling (threatening) the concepts, and thus challenging our thoughts about who has the sovereign right to name. Adam strips the power of naming the animal away from God, who will “see what [he] will see,” the same way Derrida’s cat strips the power of naming himself human away from Derrida. </w:t>
      </w:r>
    </w:p>
    <w:p w:rsidR="002D463E" w:rsidRDefault="002D463E" w:rsidP="002D463E">
      <w:pPr>
        <w:rPr>
          <w:szCs w:val="24"/>
        </w:rPr>
      </w:pPr>
    </w:p>
    <w:p w:rsidR="002D463E" w:rsidRPr="004D0257" w:rsidRDefault="002D463E" w:rsidP="002D463E">
      <w:pPr>
        <w:rPr>
          <w:szCs w:val="24"/>
        </w:rPr>
      </w:pPr>
      <w:r>
        <w:rPr>
          <w:szCs w:val="24"/>
        </w:rPr>
        <w:t>However</w:t>
      </w:r>
      <w:r w:rsidRPr="004D0257">
        <w:rPr>
          <w:szCs w:val="24"/>
        </w:rPr>
        <w:t xml:space="preserve"> in calling our attention to the </w:t>
      </w:r>
      <w:r w:rsidRPr="004D0257">
        <w:rPr>
          <w:i/>
          <w:szCs w:val="24"/>
        </w:rPr>
        <w:t>contretemps</w:t>
      </w:r>
      <w:r w:rsidRPr="004D0257">
        <w:rPr>
          <w:szCs w:val="24"/>
        </w:rPr>
        <w:t xml:space="preserve">, this disruptive time “before” naming, Derrida is not trying to suggest that there is an experience we can </w:t>
      </w:r>
      <w:r w:rsidRPr="004D0257">
        <w:rPr>
          <w:i/>
          <w:szCs w:val="24"/>
        </w:rPr>
        <w:t>chronologically</w:t>
      </w:r>
      <w:r w:rsidRPr="004D0257">
        <w:rPr>
          <w:szCs w:val="24"/>
        </w:rPr>
        <w:t xml:space="preserve"> access before names. This would be a rather anti-Derridean move, supporting a disjunction between the name and the thing. Rather, Derrida’s point is simply to note that there are experiences that </w:t>
      </w:r>
      <w:r w:rsidRPr="004D0257">
        <w:rPr>
          <w:i/>
          <w:szCs w:val="24"/>
        </w:rPr>
        <w:t>resist</w:t>
      </w:r>
      <w:r w:rsidRPr="004D0257">
        <w:rPr>
          <w:szCs w:val="24"/>
        </w:rPr>
        <w:t xml:space="preserve"> conceptualization, that open up fields of possibility and that always challenge us to rework the identities and names we use. These are experiences that point us beyond names, to a time “before” that can no longer be reached. He is pointing us to the absolute </w:t>
      </w:r>
      <w:r w:rsidRPr="004D0257">
        <w:rPr>
          <w:i/>
          <w:szCs w:val="24"/>
        </w:rPr>
        <w:t>impossibility</w:t>
      </w:r>
      <w:r w:rsidRPr="004D0257">
        <w:rPr>
          <w:szCs w:val="24"/>
        </w:rPr>
        <w:t xml:space="preserve"> of clean categorization. He is noting that our names and concepts </w:t>
      </w:r>
      <w:r w:rsidRPr="004D0257">
        <w:rPr>
          <w:i/>
          <w:szCs w:val="24"/>
        </w:rPr>
        <w:t>always</w:t>
      </w:r>
      <w:r w:rsidRPr="004D0257">
        <w:rPr>
          <w:szCs w:val="24"/>
        </w:rPr>
        <w:t xml:space="preserve"> defy the complexity and singularity of the individuals and the experiences they attempt to capture:</w:t>
      </w:r>
    </w:p>
    <w:p w:rsidR="002D463E" w:rsidRDefault="002D463E" w:rsidP="002D463E">
      <w:pPr>
        <w:spacing w:line="240" w:lineRule="auto"/>
        <w:ind w:left="737" w:right="737"/>
        <w:rPr>
          <w:rFonts w:eastAsia="Cambria"/>
          <w:color w:val="000000"/>
          <w:szCs w:val="24"/>
          <w:lang w:val="en-US"/>
        </w:rPr>
      </w:pPr>
    </w:p>
    <w:p w:rsidR="002D463E" w:rsidRPr="004D0257" w:rsidRDefault="002D463E" w:rsidP="00EA42E9">
      <w:pPr>
        <w:ind w:left="737" w:right="737"/>
        <w:rPr>
          <w:rFonts w:eastAsia="Cambria"/>
          <w:color w:val="000000"/>
          <w:szCs w:val="24"/>
          <w:lang w:val="en-US"/>
        </w:rPr>
      </w:pPr>
      <w:r w:rsidRPr="004D0257">
        <w:rPr>
          <w:rFonts w:eastAsia="Cambria"/>
          <w:color w:val="000000"/>
          <w:szCs w:val="24"/>
          <w:lang w:val="en-US"/>
        </w:rPr>
        <w:t>If I say “it is a real cat” that sees me naked, this is in order to mark its unsubstitutable singularity. When it responds in its name…</w:t>
      </w:r>
      <w:r>
        <w:rPr>
          <w:rFonts w:eastAsia="Cambria"/>
          <w:color w:val="000000"/>
          <w:szCs w:val="24"/>
          <w:lang w:val="en-US"/>
        </w:rPr>
        <w:t xml:space="preserve"> </w:t>
      </w:r>
      <w:r w:rsidRPr="004D0257">
        <w:rPr>
          <w:rFonts w:eastAsia="Cambria"/>
          <w:color w:val="000000"/>
          <w:szCs w:val="24"/>
          <w:lang w:val="en-US"/>
        </w:rPr>
        <w:t xml:space="preserve">it doesn’t do so as the exemplar of a species called “cat,” even less so of an “animal” genus or kingdom. It is true that I identify it as a male or female cat. But even before this identification, it comes to me as </w:t>
      </w:r>
      <w:r w:rsidRPr="004D0257">
        <w:rPr>
          <w:rFonts w:eastAsia="Cambria"/>
          <w:i/>
          <w:color w:val="000000"/>
          <w:szCs w:val="24"/>
          <w:lang w:val="en-US"/>
        </w:rPr>
        <w:t xml:space="preserve">this </w:t>
      </w:r>
      <w:r w:rsidRPr="004D0257">
        <w:rPr>
          <w:rFonts w:eastAsia="Cambria"/>
          <w:color w:val="000000"/>
          <w:szCs w:val="24"/>
          <w:lang w:val="en-US"/>
        </w:rPr>
        <w:t>irreplaceable living being that one day enters my space, into this place where it can encounter me, see me, even see me naked. Nothing can ever rob me of the certainty that what we have here is an existence that refuses to be conceptualized [</w:t>
      </w:r>
      <w:r w:rsidRPr="004D0257">
        <w:rPr>
          <w:rFonts w:eastAsia="Cambria"/>
          <w:i/>
          <w:color w:val="000000"/>
          <w:szCs w:val="24"/>
          <w:lang w:val="en-US"/>
        </w:rPr>
        <w:t xml:space="preserve">rebelle </w:t>
      </w:r>
      <w:r w:rsidRPr="004D0257">
        <w:rPr>
          <w:rFonts w:eastAsia="Cambria"/>
          <w:i/>
          <w:szCs w:val="24"/>
          <w:lang w:val="en-US"/>
        </w:rPr>
        <w:t>à</w:t>
      </w:r>
      <w:r w:rsidRPr="004D0257">
        <w:rPr>
          <w:rFonts w:eastAsia="Cambria"/>
          <w:i/>
          <w:color w:val="000000"/>
          <w:szCs w:val="24"/>
          <w:lang w:val="en-US"/>
        </w:rPr>
        <w:t xml:space="preserve"> tout concept</w:t>
      </w:r>
      <w:r w:rsidRPr="004D0257">
        <w:rPr>
          <w:rFonts w:eastAsia="Cambria"/>
          <w:color w:val="000000"/>
          <w:szCs w:val="24"/>
          <w:lang w:val="en-US"/>
        </w:rPr>
        <w:t>] (</w:t>
      </w:r>
      <w:r>
        <w:rPr>
          <w:rFonts w:eastAsia="Cambria"/>
          <w:color w:val="000000"/>
          <w:szCs w:val="24"/>
          <w:lang w:val="en-US"/>
        </w:rPr>
        <w:t xml:space="preserve">2008: </w:t>
      </w:r>
      <w:r w:rsidRPr="004D0257">
        <w:rPr>
          <w:rFonts w:eastAsia="Cambria"/>
          <w:color w:val="000000"/>
          <w:szCs w:val="24"/>
          <w:lang w:val="en-US"/>
        </w:rPr>
        <w:t>9).</w:t>
      </w:r>
      <w:r w:rsidRPr="004D0257">
        <w:rPr>
          <w:rStyle w:val="FootnoteReference"/>
          <w:rFonts w:eastAsia="Cambria"/>
          <w:color w:val="000000"/>
          <w:szCs w:val="24"/>
          <w:lang w:val="en-US"/>
        </w:rPr>
        <w:footnoteReference w:id="70"/>
      </w:r>
    </w:p>
    <w:p w:rsidR="002D463E" w:rsidRPr="004D0257" w:rsidRDefault="002D463E" w:rsidP="002D463E">
      <w:pPr>
        <w:spacing w:line="240" w:lineRule="auto"/>
        <w:ind w:firstLine="720"/>
        <w:rPr>
          <w:szCs w:val="24"/>
        </w:rPr>
      </w:pPr>
    </w:p>
    <w:p w:rsidR="002D463E" w:rsidRPr="004D0257" w:rsidRDefault="002D463E" w:rsidP="002D463E">
      <w:pPr>
        <w:rPr>
          <w:szCs w:val="24"/>
        </w:rPr>
      </w:pPr>
      <w:r w:rsidRPr="004D0257">
        <w:rPr>
          <w:szCs w:val="24"/>
        </w:rPr>
        <w:t>If Derrida is calling our attention to experiences that resist conceptualization, what does he make of our use of the concepts “human” and “animal”? Ought we to redefine these groupings, or perhaps abandon the human-animal divide altogether? Derrida’s thoughts on this have been debated among several commentators. Matthew Calarco has stated that Derrida’s claim that “There is no interest to be found in debating something like a discontinuity, rupture, or even abyss between those who call themselves men and what [they] call the animal” is “one of the most dogmatic and puzzling moments in all of his writings” (Calarco</w:t>
      </w:r>
      <w:r>
        <w:rPr>
          <w:szCs w:val="24"/>
        </w:rPr>
        <w:t>, 2008:</w:t>
      </w:r>
      <w:r w:rsidRPr="004D0257">
        <w:rPr>
          <w:szCs w:val="24"/>
        </w:rPr>
        <w:t xml:space="preserve"> 145-6</w:t>
      </w:r>
      <w:r>
        <w:rPr>
          <w:szCs w:val="24"/>
        </w:rPr>
        <w:t>; Derrida 2008:</w:t>
      </w:r>
      <w:r w:rsidRPr="004D0257">
        <w:rPr>
          <w:szCs w:val="24"/>
        </w:rPr>
        <w:t xml:space="preserve"> 30). Indeed, why </w:t>
      </w:r>
      <w:r w:rsidRPr="004D0257">
        <w:rPr>
          <w:i/>
          <w:szCs w:val="24"/>
        </w:rPr>
        <w:t>would</w:t>
      </w:r>
      <w:r w:rsidRPr="004D0257">
        <w:rPr>
          <w:szCs w:val="24"/>
        </w:rPr>
        <w:t xml:space="preserve"> Derrida insist on maintaining an abyss between humans and animals, when the very thing he seems to be doing is dismantling the supposed content of these categories? </w:t>
      </w:r>
    </w:p>
    <w:p w:rsidR="002D463E" w:rsidRDefault="002D463E" w:rsidP="002D463E">
      <w:pPr>
        <w:rPr>
          <w:szCs w:val="24"/>
        </w:rPr>
      </w:pPr>
    </w:p>
    <w:p w:rsidR="002D463E" w:rsidRPr="004D0257" w:rsidRDefault="002D463E" w:rsidP="002D463E">
      <w:pPr>
        <w:rPr>
          <w:szCs w:val="24"/>
        </w:rPr>
      </w:pPr>
      <w:r>
        <w:rPr>
          <w:szCs w:val="24"/>
        </w:rPr>
        <w:t>However</w:t>
      </w:r>
      <w:r w:rsidRPr="004D0257">
        <w:rPr>
          <w:szCs w:val="24"/>
        </w:rPr>
        <w:t xml:space="preserve"> in his paper, “Life Beyond Biologism,” Ted Toadvine rightly explains that Derrida is more complicated than Calarco appreciates. Derrida does not simply want to maintain the animal-human abyss in order to deny any crossover. Rather, “</w:t>
      </w:r>
      <w:r w:rsidRPr="004D0257">
        <w:rPr>
          <w:rFonts w:eastAsia="Cambria"/>
          <w:color w:val="000000"/>
          <w:szCs w:val="24"/>
          <w:lang w:val="en-US"/>
        </w:rPr>
        <w:t>At stake in Derrida’s approach is the very logic of the limits between the human and the animal, which must be confronted obliquely in order to destabilize the biologism-humanism alternative. This points us toward an abyssal logic that thickens and multiplies differences, eliminating any hierarchy be</w:t>
      </w:r>
      <w:r>
        <w:rPr>
          <w:rFonts w:eastAsia="Cambria"/>
          <w:color w:val="000000"/>
          <w:szCs w:val="24"/>
          <w:lang w:val="en-US"/>
        </w:rPr>
        <w:t>tween humans and animals” (2010:</w:t>
      </w:r>
      <w:r w:rsidRPr="004D0257">
        <w:rPr>
          <w:rFonts w:eastAsia="Cambria"/>
          <w:color w:val="000000"/>
          <w:szCs w:val="24"/>
          <w:lang w:val="en-US"/>
        </w:rPr>
        <w:t xml:space="preserve"> 247). In multiplying the abysses, we soon find that there is no obvious way in which we can cleanly maintain the human-animal dichotomy, since abysses now surrou</w:t>
      </w:r>
      <w:r>
        <w:rPr>
          <w:rFonts w:eastAsia="Cambria"/>
          <w:color w:val="000000"/>
          <w:szCs w:val="24"/>
          <w:lang w:val="en-US"/>
        </w:rPr>
        <w:t>nd us to the point where we canno</w:t>
      </w:r>
      <w:r w:rsidRPr="004D0257">
        <w:rPr>
          <w:rFonts w:eastAsia="Cambria"/>
          <w:color w:val="000000"/>
          <w:szCs w:val="24"/>
          <w:lang w:val="en-US"/>
        </w:rPr>
        <w:t>t see clearly. Derrida states,</w:t>
      </w:r>
    </w:p>
    <w:p w:rsidR="002D463E" w:rsidRPr="004D0257" w:rsidRDefault="002D463E" w:rsidP="002D463E">
      <w:pPr>
        <w:spacing w:line="240" w:lineRule="auto"/>
        <w:ind w:firstLine="720"/>
        <w:rPr>
          <w:rFonts w:eastAsia="Cambria"/>
          <w:color w:val="000000"/>
          <w:szCs w:val="24"/>
          <w:lang w:val="en-US"/>
        </w:rPr>
      </w:pPr>
    </w:p>
    <w:p w:rsidR="002D463E" w:rsidRPr="004D0257" w:rsidRDefault="002D463E" w:rsidP="00EA42E9">
      <w:pPr>
        <w:ind w:left="737" w:right="737"/>
        <w:rPr>
          <w:rFonts w:eastAsia="Cambria"/>
          <w:color w:val="000000"/>
          <w:szCs w:val="24"/>
          <w:lang w:val="en-US"/>
        </w:rPr>
      </w:pPr>
      <w:r w:rsidRPr="004D0257">
        <w:rPr>
          <w:rFonts w:eastAsia="Cambria"/>
          <w:color w:val="000000"/>
          <w:szCs w:val="24"/>
          <w:lang w:val="en-US"/>
        </w:rPr>
        <w:t xml:space="preserve">The discussion becomes interesting once, instead of asking whether or not there is a limit that produces a discontinuity, one attempts to think what a limit becomes once it is abyss, once the frontier no longer forms a single indivisible line but more than one internally divided line; once, as a result, it can no longer be traced, objectified, or counted </w:t>
      </w:r>
      <w:r>
        <w:rPr>
          <w:rFonts w:eastAsia="Cambria"/>
          <w:color w:val="000000"/>
          <w:szCs w:val="24"/>
          <w:lang w:val="en-US"/>
        </w:rPr>
        <w:t>as single and indivisible (2008:</w:t>
      </w:r>
      <w:r w:rsidRPr="004D0257">
        <w:rPr>
          <w:rFonts w:eastAsia="Cambria"/>
          <w:color w:val="000000"/>
          <w:szCs w:val="24"/>
          <w:lang w:val="en-US"/>
        </w:rPr>
        <w:t xml:space="preserve"> 30-</w:t>
      </w:r>
      <w:r>
        <w:rPr>
          <w:rFonts w:eastAsia="Cambria"/>
          <w:color w:val="000000"/>
          <w:szCs w:val="24"/>
          <w:lang w:val="en-US"/>
        </w:rPr>
        <w:t>3</w:t>
      </w:r>
      <w:r w:rsidRPr="004D0257">
        <w:rPr>
          <w:rFonts w:eastAsia="Cambria"/>
          <w:color w:val="000000"/>
          <w:szCs w:val="24"/>
          <w:lang w:val="en-US"/>
        </w:rPr>
        <w:t xml:space="preserve">1). </w:t>
      </w:r>
    </w:p>
    <w:p w:rsidR="002D463E" w:rsidRPr="004D0257" w:rsidRDefault="002D463E" w:rsidP="002D463E">
      <w:pPr>
        <w:spacing w:line="240" w:lineRule="auto"/>
        <w:ind w:firstLine="720"/>
        <w:rPr>
          <w:rFonts w:eastAsia="Cambria"/>
          <w:color w:val="000000"/>
          <w:szCs w:val="24"/>
          <w:lang w:val="en-US"/>
        </w:rPr>
      </w:pPr>
    </w:p>
    <w:p w:rsidR="002D463E" w:rsidRPr="004D0257" w:rsidRDefault="002D463E" w:rsidP="002D463E">
      <w:pPr>
        <w:rPr>
          <w:rFonts w:eastAsia="Cambria"/>
          <w:color w:val="000000"/>
          <w:szCs w:val="24"/>
          <w:lang w:val="en-US"/>
        </w:rPr>
      </w:pPr>
      <w:r w:rsidRPr="004D0257">
        <w:rPr>
          <w:rFonts w:eastAsia="Cambria"/>
          <w:color w:val="000000"/>
          <w:szCs w:val="24"/>
          <w:lang w:val="en-US"/>
        </w:rPr>
        <w:t xml:space="preserve">A multiplication of abysses results in what Toadvine calls an “abyssal logic” that is more complex than a Darwinist continuism that challenges the human-animal binary in a different yet still problematic way (the latter of which Calarco </w:t>
      </w:r>
      <w:r>
        <w:rPr>
          <w:rFonts w:eastAsia="Cambria"/>
          <w:color w:val="000000"/>
          <w:szCs w:val="24"/>
          <w:lang w:val="en-US"/>
        </w:rPr>
        <w:t>seems to want to endorse) (2010:</w:t>
      </w:r>
      <w:r w:rsidRPr="004D0257">
        <w:rPr>
          <w:rFonts w:eastAsia="Cambria"/>
          <w:color w:val="000000"/>
          <w:szCs w:val="24"/>
          <w:lang w:val="en-US"/>
        </w:rPr>
        <w:t xml:space="preserve"> 251). As we have seen in the case of Sarah Bartmann, evolutionary logic does not necessarily imply the lack of a hierarchy. To the contrary, such a “breaking down” of the abyss between humans and animals in this regard has often resulted in even </w:t>
      </w:r>
      <w:r w:rsidRPr="004D0257">
        <w:rPr>
          <w:rFonts w:eastAsia="Cambria"/>
          <w:i/>
          <w:color w:val="000000"/>
          <w:szCs w:val="24"/>
          <w:lang w:val="en-US"/>
        </w:rPr>
        <w:t>more</w:t>
      </w:r>
      <w:r w:rsidRPr="004D0257">
        <w:rPr>
          <w:rFonts w:eastAsia="Cambria"/>
          <w:color w:val="000000"/>
          <w:szCs w:val="24"/>
          <w:lang w:val="en-US"/>
        </w:rPr>
        <w:t xml:space="preserve"> oppression, and still vertical forms of exclusionary logic. Toadvine further acknowledges that subsuming the human within the category of “animality” does nothing to interrogate the idea of some unified group of “Animals” within which an infinite number of wholly different beings can be grouped  (251). It is such that “Derrida’s own rejection of biologism seeks to avoid a correlative humanism precisely by ‘thickening’ and ‘multiplying’ the differences, subjecting the logic of the abyss to an abyssal logic of limits” (251). </w:t>
      </w:r>
    </w:p>
    <w:p w:rsidR="002D463E" w:rsidRPr="004D0257" w:rsidRDefault="002D463E" w:rsidP="002D463E">
      <w:pPr>
        <w:rPr>
          <w:rFonts w:eastAsia="Cambria"/>
          <w:color w:val="000000"/>
          <w:szCs w:val="24"/>
          <w:lang w:val="en-US"/>
        </w:rPr>
      </w:pPr>
    </w:p>
    <w:p w:rsidR="002D463E" w:rsidRPr="007F1B38" w:rsidRDefault="002D463E" w:rsidP="00066FE8">
      <w:pPr>
        <w:pStyle w:val="Heading3"/>
        <w:rPr>
          <w:lang w:val="en-US"/>
        </w:rPr>
      </w:pPr>
      <w:r w:rsidRPr="007F1B38">
        <w:rPr>
          <w:lang w:val="en-US"/>
        </w:rPr>
        <w:t>Conclusion</w:t>
      </w:r>
    </w:p>
    <w:p w:rsidR="002D463E" w:rsidRDefault="002D463E" w:rsidP="002D463E">
      <w:pPr>
        <w:rPr>
          <w:szCs w:val="24"/>
        </w:rPr>
      </w:pPr>
    </w:p>
    <w:p w:rsidR="002D463E" w:rsidRPr="004D0257" w:rsidRDefault="002D463E" w:rsidP="002D463E">
      <w:pPr>
        <w:rPr>
          <w:szCs w:val="24"/>
        </w:rPr>
      </w:pPr>
      <w:r w:rsidRPr="004D0257">
        <w:rPr>
          <w:szCs w:val="24"/>
        </w:rPr>
        <w:t xml:space="preserve">Bartmann’s story has hopefully served to highlight the centrality of the animal-human divide in dominant forms of oppression like racism, colonialism and sexism. In so doing, I hope to have shown that we must rigorously attend to the animal-human divide in our theorizing if we wish to combat oppressions of all varieties. It is crucial to recognize that the ways male, white humanness were defined in the European colonists’ imaginary were inextricably wound up with the figure of the debased animal. Since Genesis, “proper” humanity has been defined in opposition to the animal body, the latter of which went on to be derogatorily applied to myriad inferiorized others. This practice is still very much at work today, as indicated by the language of dehumanization and animalization on the contemporary U.S. political landscape (especially as it is applied in wartime and regarding the treatment of prisoners) (see Guenther, forthcoming </w:t>
      </w:r>
      <w:r>
        <w:rPr>
          <w:szCs w:val="24"/>
        </w:rPr>
        <w:t xml:space="preserve">in </w:t>
      </w:r>
      <w:r w:rsidRPr="00B32CD8">
        <w:rPr>
          <w:i/>
          <w:szCs w:val="24"/>
        </w:rPr>
        <w:t xml:space="preserve">JCAS </w:t>
      </w:r>
      <w:r w:rsidRPr="004D0257">
        <w:rPr>
          <w:szCs w:val="24"/>
        </w:rPr>
        <w:t>on this).</w:t>
      </w:r>
    </w:p>
    <w:p w:rsidR="002D463E" w:rsidRDefault="002D463E" w:rsidP="002D463E">
      <w:pPr>
        <w:rPr>
          <w:szCs w:val="24"/>
        </w:rPr>
      </w:pPr>
    </w:p>
    <w:p w:rsidR="002D463E" w:rsidRDefault="002D463E" w:rsidP="002D463E">
      <w:pPr>
        <w:rPr>
          <w:szCs w:val="24"/>
          <w:lang w:val="en-US"/>
        </w:rPr>
      </w:pPr>
      <w:r w:rsidRPr="004D0257">
        <w:rPr>
          <w:szCs w:val="24"/>
        </w:rPr>
        <w:t>In thinking about how to battle oppression, gender and race theorist Georgia Warnke suggests that we must “</w:t>
      </w:r>
      <w:r w:rsidRPr="004D0257">
        <w:rPr>
          <w:rFonts w:eastAsia="Cambria"/>
          <w:color w:val="000000"/>
          <w:szCs w:val="24"/>
          <w:lang w:val="en-US"/>
        </w:rPr>
        <w:t>imagine a life bey</w:t>
      </w:r>
      <w:r>
        <w:rPr>
          <w:rFonts w:eastAsia="Cambria"/>
          <w:color w:val="000000"/>
          <w:szCs w:val="24"/>
          <w:lang w:val="en-US"/>
        </w:rPr>
        <w:t>ond sex and beyond race…” (2001:</w:t>
      </w:r>
      <w:r w:rsidRPr="004D0257">
        <w:rPr>
          <w:rFonts w:eastAsia="Cambria"/>
          <w:color w:val="000000"/>
          <w:szCs w:val="24"/>
          <w:lang w:val="en-US"/>
        </w:rPr>
        <w:t xml:space="preserve"> 135). But, as we have seen, </w:t>
      </w:r>
      <w:r w:rsidRPr="004D0257">
        <w:rPr>
          <w:szCs w:val="24"/>
        </w:rPr>
        <w:t xml:space="preserve">Sarah Bartmann’s story proves that the strict dividing lines between femaleness and maleness, blackness and whiteness, colonizer and colonized are all caught up within networks of power that exploit and rely on the animal-human divide. Correlatively, they all work together to form a general notion of the “proper human.” Given the centrality of the animal-human binary I have been discussing in both raced and sexed oppression then, it is going to be crucial for us to expand Warnke’s imaginative scheme by thinking beyond humanity as well. It should be noted that this proposal is not meant to simply name a neglected form of oppression and argue that it ought to be considered. Of course, it is impossible to attend to all forms of oppression all the time. But, as I have argued, disrupting the animal-human will cause a </w:t>
      </w:r>
      <w:r w:rsidRPr="004D0257">
        <w:rPr>
          <w:i/>
          <w:szCs w:val="24"/>
        </w:rPr>
        <w:t>foundational</w:t>
      </w:r>
      <w:r w:rsidRPr="004D0257">
        <w:rPr>
          <w:szCs w:val="24"/>
        </w:rPr>
        <w:t xml:space="preserve"> element inherent in these other forms of oppression to crumble.</w:t>
      </w:r>
      <w:r w:rsidRPr="004D0257">
        <w:rPr>
          <w:rStyle w:val="FootnoteReference"/>
          <w:szCs w:val="24"/>
        </w:rPr>
        <w:footnoteReference w:id="71"/>
      </w:r>
      <w:r w:rsidRPr="004D0257">
        <w:rPr>
          <w:szCs w:val="24"/>
        </w:rPr>
        <w:t xml:space="preserve"> It is in this sense that proposals like that of Warnke, which purport to combat raced and sexed oppression, are seriously short-sighted. If the liberatory goals we strive for </w:t>
      </w:r>
      <w:r w:rsidRPr="004D0257">
        <w:rPr>
          <w:i/>
          <w:szCs w:val="24"/>
        </w:rPr>
        <w:t>depend</w:t>
      </w:r>
      <w:r w:rsidRPr="004D0257">
        <w:rPr>
          <w:szCs w:val="24"/>
        </w:rPr>
        <w:t xml:space="preserve"> on attending to the figure of the animal alongside other forms of oppression, then we must think within, beyond and between not only race, sex and gender binaries, but, crucially, the animal-human binary as well.</w:t>
      </w:r>
      <w:r w:rsidRPr="004D0257">
        <w:rPr>
          <w:rStyle w:val="FootnoteReference"/>
          <w:szCs w:val="24"/>
        </w:rPr>
        <w:footnoteReference w:id="72"/>
      </w:r>
      <w:r w:rsidRPr="004D0257">
        <w:rPr>
          <w:szCs w:val="24"/>
        </w:rPr>
        <w:t xml:space="preserve"> A Derridean approach that multiplies differences and limits wherever possible can help illuminate the fabricated nature of claims about these so-called essential facts of our identities. </w:t>
      </w:r>
      <w:r w:rsidRPr="004D0257">
        <w:rPr>
          <w:szCs w:val="24"/>
          <w:lang w:val="en-US"/>
        </w:rPr>
        <w:t>Derrida introduces a new term, “animot,” intended to summon the multiple differences of all living creatures, covered over by the singular, ostensibly inclusive category “Animal.” He states, “</w:t>
      </w:r>
      <w:r w:rsidRPr="004D0257">
        <w:rPr>
          <w:i/>
          <w:szCs w:val="24"/>
          <w:lang w:val="en-US"/>
        </w:rPr>
        <w:t>Ecce Animot</w:t>
      </w:r>
      <w:r w:rsidRPr="004D0257">
        <w:rPr>
          <w:szCs w:val="24"/>
          <w:lang w:val="en-US"/>
        </w:rPr>
        <w:t>. Neither a species nor a gender nor an individual, it is an irreducible living multiplicity of mortals… a sort of monstrous hybrid</w:t>
      </w:r>
      <w:r>
        <w:rPr>
          <w:szCs w:val="24"/>
          <w:lang w:val="en-US"/>
        </w:rPr>
        <w:t>”; it is “</w:t>
      </w:r>
      <w:r w:rsidRPr="004D0257">
        <w:rPr>
          <w:szCs w:val="24"/>
          <w:lang w:val="en-US"/>
        </w:rPr>
        <w:t>a multiplicity of heterogeneous structures and limits” (</w:t>
      </w:r>
      <w:r>
        <w:rPr>
          <w:szCs w:val="24"/>
          <w:lang w:val="en-US"/>
        </w:rPr>
        <w:t xml:space="preserve">41, </w:t>
      </w:r>
      <w:r w:rsidRPr="004D0257">
        <w:rPr>
          <w:szCs w:val="24"/>
          <w:lang w:val="en-US"/>
        </w:rPr>
        <w:t>48). Perhaps thinking beyond, between and within the animal-human binary can begin here.</w:t>
      </w:r>
      <w:r w:rsidRPr="004D0257">
        <w:rPr>
          <w:rStyle w:val="FootnoteReference"/>
          <w:szCs w:val="24"/>
        </w:rPr>
        <w:footnoteReference w:id="73"/>
      </w:r>
    </w:p>
    <w:p w:rsidR="002D463E" w:rsidRPr="004D0257" w:rsidRDefault="002D463E" w:rsidP="002D463E">
      <w:pPr>
        <w:spacing w:line="480" w:lineRule="auto"/>
        <w:rPr>
          <w:szCs w:val="24"/>
        </w:rPr>
      </w:pPr>
    </w:p>
    <w:p w:rsidR="002D463E" w:rsidRDefault="002D463E" w:rsidP="00066FE8">
      <w:pPr>
        <w:pStyle w:val="Heading3"/>
        <w:rPr>
          <w:lang w:val="en-US"/>
        </w:rPr>
      </w:pPr>
      <w:r w:rsidRPr="007F1B38">
        <w:rPr>
          <w:lang w:val="en-US"/>
        </w:rPr>
        <w:t>References</w:t>
      </w:r>
    </w:p>
    <w:p w:rsidR="00066FE8" w:rsidRPr="00066FE8" w:rsidRDefault="00066FE8" w:rsidP="00066FE8">
      <w:pPr>
        <w:rPr>
          <w:lang w:val="en-US"/>
        </w:rPr>
      </w:pPr>
    </w:p>
    <w:p w:rsidR="002D463E" w:rsidRPr="007F1B38" w:rsidRDefault="002D463E" w:rsidP="00066FE8">
      <w:pPr>
        <w:pStyle w:val="References"/>
        <w:rPr>
          <w:b/>
        </w:rPr>
      </w:pPr>
      <w:r w:rsidRPr="004D0257">
        <w:t>Adams, C</w:t>
      </w:r>
      <w:r>
        <w:t>.</w:t>
      </w:r>
      <w:r w:rsidRPr="004D0257">
        <w:t xml:space="preserve"> J. </w:t>
      </w:r>
      <w:r>
        <w:t>(</w:t>
      </w:r>
      <w:r w:rsidRPr="004D0257">
        <w:t>1990</w:t>
      </w:r>
      <w:r>
        <w:t>),</w:t>
      </w:r>
      <w:r w:rsidRPr="004D0257">
        <w:t xml:space="preserve"> The Sexual Politics of Meat: A Feminist-Vegetarian Critical Theory</w:t>
      </w:r>
      <w:r>
        <w:t>,</w:t>
      </w:r>
      <w:r w:rsidRPr="004D0257">
        <w:t xml:space="preserve"> New York: Continuum International. </w:t>
      </w:r>
    </w:p>
    <w:p w:rsidR="002D463E" w:rsidRDefault="002D463E" w:rsidP="00066FE8">
      <w:pPr>
        <w:pStyle w:val="References"/>
      </w:pPr>
    </w:p>
    <w:p w:rsidR="002D463E" w:rsidRPr="004D0257" w:rsidRDefault="002D463E" w:rsidP="00066FE8">
      <w:pPr>
        <w:pStyle w:val="References"/>
        <w:rPr>
          <w:rFonts w:eastAsia="Cambria"/>
          <w:color w:val="141413"/>
          <w:lang w:val="en-US"/>
        </w:rPr>
      </w:pPr>
      <w:r w:rsidRPr="004D0257">
        <w:t>Bailey, C</w:t>
      </w:r>
      <w:r>
        <w:t>.</w:t>
      </w:r>
      <w:r w:rsidRPr="004D0257">
        <w:t xml:space="preserve"> </w:t>
      </w:r>
      <w:r>
        <w:t>(</w:t>
      </w:r>
      <w:r w:rsidRPr="004D0257">
        <w:t>2007</w:t>
      </w:r>
      <w:r>
        <w:t>),</w:t>
      </w:r>
      <w:r w:rsidRPr="004D0257">
        <w:t xml:space="preserve"> “We Are What We Eat: Feminist Vegetarianism and the Reproduction of Racial Identity”</w:t>
      </w:r>
      <w:r>
        <w:t>,</w:t>
      </w:r>
      <w:r w:rsidRPr="004D0257">
        <w:t xml:space="preserve"> Hypatia, 22, 2</w:t>
      </w:r>
      <w:r>
        <w:t>, pp. 39-59.</w:t>
      </w:r>
    </w:p>
    <w:p w:rsidR="002D463E" w:rsidRPr="004D0257" w:rsidRDefault="002D463E" w:rsidP="00066FE8">
      <w:pPr>
        <w:pStyle w:val="References"/>
      </w:pPr>
    </w:p>
    <w:p w:rsidR="002D463E" w:rsidRPr="004D0257" w:rsidRDefault="002D463E" w:rsidP="00066FE8">
      <w:pPr>
        <w:pStyle w:val="References"/>
        <w:rPr>
          <w:rFonts w:eastAsia="Cambria"/>
          <w:color w:val="141413"/>
          <w:lang w:val="en-US"/>
        </w:rPr>
      </w:pPr>
      <w:r w:rsidRPr="004D0257">
        <w:t>Bible. King James Version.</w:t>
      </w:r>
    </w:p>
    <w:p w:rsidR="002D463E" w:rsidRPr="004D0257" w:rsidRDefault="002D463E" w:rsidP="00066FE8">
      <w:pPr>
        <w:pStyle w:val="References"/>
      </w:pPr>
    </w:p>
    <w:p w:rsidR="002D463E" w:rsidRPr="004D0257" w:rsidRDefault="002D463E" w:rsidP="00066FE8">
      <w:pPr>
        <w:pStyle w:val="References"/>
        <w:rPr>
          <w:lang w:val="en-US"/>
        </w:rPr>
      </w:pPr>
      <w:r w:rsidRPr="004D0257">
        <w:rPr>
          <w:lang w:val="en-US"/>
        </w:rPr>
        <w:t>Calarco, M</w:t>
      </w:r>
      <w:r>
        <w:rPr>
          <w:lang w:val="en-US"/>
        </w:rPr>
        <w:t>.</w:t>
      </w:r>
      <w:r w:rsidRPr="004D0257">
        <w:rPr>
          <w:lang w:val="en-US"/>
        </w:rPr>
        <w:t xml:space="preserve"> </w:t>
      </w:r>
      <w:r>
        <w:rPr>
          <w:lang w:val="en-US"/>
        </w:rPr>
        <w:t>(</w:t>
      </w:r>
      <w:r w:rsidRPr="004D0257">
        <w:rPr>
          <w:lang w:val="en-US"/>
        </w:rPr>
        <w:t>2008</w:t>
      </w:r>
      <w:r>
        <w:rPr>
          <w:lang w:val="en-US"/>
        </w:rPr>
        <w:t>),</w:t>
      </w:r>
      <w:r w:rsidRPr="004D0257">
        <w:rPr>
          <w:lang w:val="en-US"/>
        </w:rPr>
        <w:t xml:space="preserve"> Zoographies: The Question of the Animal from Heidegger to Derrida</w:t>
      </w:r>
      <w:r>
        <w:rPr>
          <w:lang w:val="en-US"/>
        </w:rPr>
        <w:t>,</w:t>
      </w:r>
      <w:r w:rsidRPr="004D0257">
        <w:rPr>
          <w:lang w:val="en-US"/>
        </w:rPr>
        <w:t xml:space="preserve"> New York: Columbia University Press. </w:t>
      </w:r>
    </w:p>
    <w:p w:rsidR="002D463E" w:rsidRPr="004D0257" w:rsidRDefault="002D463E" w:rsidP="00066FE8">
      <w:pPr>
        <w:pStyle w:val="References"/>
        <w:rPr>
          <w:lang w:val="en-US"/>
        </w:rPr>
      </w:pPr>
    </w:p>
    <w:p w:rsidR="002D463E" w:rsidRPr="004D0257" w:rsidRDefault="002D463E" w:rsidP="00066FE8">
      <w:pPr>
        <w:pStyle w:val="References"/>
        <w:rPr>
          <w:lang w:val="en-US"/>
        </w:rPr>
      </w:pPr>
      <w:r w:rsidRPr="004D0257">
        <w:rPr>
          <w:lang w:val="en-US"/>
        </w:rPr>
        <w:t>Crais, C</w:t>
      </w:r>
      <w:r>
        <w:rPr>
          <w:lang w:val="en-US"/>
        </w:rPr>
        <w:t>.</w:t>
      </w:r>
      <w:r w:rsidRPr="004D0257">
        <w:rPr>
          <w:lang w:val="en-US"/>
        </w:rPr>
        <w:t xml:space="preserve"> and Scully, P</w:t>
      </w:r>
      <w:r>
        <w:rPr>
          <w:lang w:val="en-US"/>
        </w:rPr>
        <w:t>.</w:t>
      </w:r>
      <w:r w:rsidRPr="004D0257">
        <w:rPr>
          <w:lang w:val="en-US"/>
        </w:rPr>
        <w:t xml:space="preserve"> </w:t>
      </w:r>
      <w:r>
        <w:rPr>
          <w:lang w:val="en-US"/>
        </w:rPr>
        <w:t>(</w:t>
      </w:r>
      <w:r w:rsidRPr="004D0257">
        <w:rPr>
          <w:lang w:val="en-US"/>
        </w:rPr>
        <w:t>2009</w:t>
      </w:r>
      <w:r>
        <w:rPr>
          <w:lang w:val="en-US"/>
        </w:rPr>
        <w:t>),</w:t>
      </w:r>
      <w:r w:rsidRPr="004D0257">
        <w:rPr>
          <w:lang w:val="en-US"/>
        </w:rPr>
        <w:t xml:space="preserve"> Sarah Baartman and the Hottentot Venus: a ghost story and a biography</w:t>
      </w:r>
      <w:r>
        <w:rPr>
          <w:lang w:val="en-US"/>
        </w:rPr>
        <w:t>,</w:t>
      </w:r>
      <w:r w:rsidRPr="004D0257">
        <w:rPr>
          <w:lang w:val="en-US"/>
        </w:rPr>
        <w:t xml:space="preserve"> Princeton: Princeton University Press. </w:t>
      </w:r>
    </w:p>
    <w:p w:rsidR="002D463E" w:rsidRPr="004D0257" w:rsidRDefault="002D463E" w:rsidP="00066FE8">
      <w:pPr>
        <w:pStyle w:val="References"/>
        <w:rPr>
          <w:lang w:val="en-US"/>
        </w:rPr>
      </w:pPr>
    </w:p>
    <w:p w:rsidR="002D463E" w:rsidRPr="004D0257" w:rsidRDefault="002D463E" w:rsidP="00066FE8">
      <w:pPr>
        <w:pStyle w:val="References"/>
        <w:rPr>
          <w:lang w:val="en-US"/>
        </w:rPr>
      </w:pPr>
      <w:r w:rsidRPr="004D0257">
        <w:rPr>
          <w:lang w:val="en-US"/>
        </w:rPr>
        <w:t>Derrida, J</w:t>
      </w:r>
      <w:r>
        <w:rPr>
          <w:lang w:val="en-US"/>
        </w:rPr>
        <w:t>.</w:t>
      </w:r>
      <w:r w:rsidRPr="004D0257">
        <w:rPr>
          <w:lang w:val="en-US"/>
        </w:rPr>
        <w:t xml:space="preserve"> </w:t>
      </w:r>
      <w:r>
        <w:rPr>
          <w:lang w:val="en-US"/>
        </w:rPr>
        <w:t>(</w:t>
      </w:r>
      <w:r w:rsidRPr="004D0257">
        <w:rPr>
          <w:lang w:val="en-US"/>
        </w:rPr>
        <w:t>2008</w:t>
      </w:r>
      <w:r>
        <w:rPr>
          <w:lang w:val="en-US"/>
        </w:rPr>
        <w:t>)</w:t>
      </w:r>
      <w:r w:rsidRPr="004D0257">
        <w:rPr>
          <w:lang w:val="en-US"/>
        </w:rPr>
        <w:t>. The Animal That Therefore I Am</w:t>
      </w:r>
      <w:r>
        <w:rPr>
          <w:lang w:val="en-US"/>
        </w:rPr>
        <w:t>,</w:t>
      </w:r>
      <w:r w:rsidRPr="004D0257">
        <w:rPr>
          <w:lang w:val="en-US"/>
        </w:rPr>
        <w:t xml:space="preserve"> </w:t>
      </w:r>
      <w:r>
        <w:rPr>
          <w:lang w:val="en-US"/>
        </w:rPr>
        <w:t>t</w:t>
      </w:r>
      <w:r w:rsidRPr="004D0257">
        <w:rPr>
          <w:lang w:val="en-US"/>
        </w:rPr>
        <w:t>rans</w:t>
      </w:r>
      <w:r>
        <w:rPr>
          <w:lang w:val="en-US"/>
        </w:rPr>
        <w:t>lated by</w:t>
      </w:r>
      <w:r w:rsidRPr="004D0257">
        <w:rPr>
          <w:lang w:val="en-US"/>
        </w:rPr>
        <w:t xml:space="preserve"> David Wills</w:t>
      </w:r>
      <w:r>
        <w:rPr>
          <w:lang w:val="en-US"/>
        </w:rPr>
        <w:t>,</w:t>
      </w:r>
      <w:r w:rsidRPr="004D0257">
        <w:rPr>
          <w:lang w:val="en-US"/>
        </w:rPr>
        <w:t xml:space="preserve"> New York: Fordham University Press. </w:t>
      </w:r>
    </w:p>
    <w:p w:rsidR="002D463E" w:rsidRPr="004D0257" w:rsidRDefault="002D463E" w:rsidP="00066FE8">
      <w:pPr>
        <w:pStyle w:val="References"/>
        <w:rPr>
          <w:lang w:val="en-US"/>
        </w:rPr>
      </w:pPr>
    </w:p>
    <w:p w:rsidR="002D463E" w:rsidRDefault="002D463E" w:rsidP="00066FE8">
      <w:pPr>
        <w:pStyle w:val="References"/>
        <w:rPr>
          <w:lang w:val="en-US"/>
        </w:rPr>
      </w:pPr>
      <w:r w:rsidRPr="004D0257">
        <w:rPr>
          <w:lang w:val="en-US"/>
        </w:rPr>
        <w:t xml:space="preserve">Derrida, J. </w:t>
      </w:r>
      <w:r>
        <w:rPr>
          <w:lang w:val="en-US"/>
        </w:rPr>
        <w:t>(</w:t>
      </w:r>
      <w:r w:rsidRPr="004D0257">
        <w:rPr>
          <w:lang w:val="en-US"/>
        </w:rPr>
        <w:t>1983</w:t>
      </w:r>
      <w:r>
        <w:rPr>
          <w:lang w:val="en-US"/>
        </w:rPr>
        <w:t>),</w:t>
      </w:r>
      <w:r w:rsidRPr="004D0257">
        <w:rPr>
          <w:lang w:val="en-US"/>
        </w:rPr>
        <w:t xml:space="preserve"> “Geschlecht: sexual difference, ontological difference”</w:t>
      </w:r>
      <w:r>
        <w:rPr>
          <w:lang w:val="en-US"/>
        </w:rPr>
        <w:t>,</w:t>
      </w:r>
      <w:r w:rsidRPr="004D0257">
        <w:rPr>
          <w:lang w:val="en-US"/>
        </w:rPr>
        <w:t xml:space="preserve"> Research in Phenomenology, 13</w:t>
      </w:r>
      <w:r>
        <w:rPr>
          <w:lang w:val="en-US"/>
        </w:rPr>
        <w:t>, pp. 65-83.</w:t>
      </w:r>
    </w:p>
    <w:p w:rsidR="002D463E" w:rsidRDefault="002D463E" w:rsidP="00066FE8">
      <w:pPr>
        <w:pStyle w:val="References"/>
        <w:rPr>
          <w:lang w:val="en-US"/>
        </w:rPr>
      </w:pPr>
    </w:p>
    <w:p w:rsidR="002D463E" w:rsidRPr="004D0257" w:rsidRDefault="002D463E" w:rsidP="00066FE8">
      <w:pPr>
        <w:pStyle w:val="References"/>
        <w:rPr>
          <w:lang w:val="en-US"/>
        </w:rPr>
      </w:pPr>
      <w:r w:rsidRPr="004D0257">
        <w:rPr>
          <w:lang w:val="en-US"/>
        </w:rPr>
        <w:t>Guenther, L.</w:t>
      </w:r>
      <w:r>
        <w:rPr>
          <w:lang w:val="en-US"/>
        </w:rPr>
        <w:t xml:space="preserve"> (Forthcoming),</w:t>
      </w:r>
      <w:r w:rsidRPr="004D0257">
        <w:rPr>
          <w:lang w:val="en-US"/>
        </w:rPr>
        <w:t xml:space="preserve"> “Beyond Dehumanization: A Post-Humanist Critique of Solitary Confinement,” Journal of Critical Animal Studies. Special Issue on Animals and Prisons. </w:t>
      </w:r>
    </w:p>
    <w:p w:rsidR="002D463E" w:rsidRPr="004D0257" w:rsidRDefault="002D463E" w:rsidP="00066FE8">
      <w:pPr>
        <w:pStyle w:val="References"/>
      </w:pPr>
    </w:p>
    <w:p w:rsidR="002D463E" w:rsidRDefault="002D463E" w:rsidP="00066FE8">
      <w:pPr>
        <w:pStyle w:val="References"/>
      </w:pPr>
      <w:r w:rsidRPr="004D0257">
        <w:t xml:space="preserve">Guenther, </w:t>
      </w:r>
      <w:r>
        <w:t>L. (</w:t>
      </w:r>
      <w:r w:rsidRPr="004D0257">
        <w:t>2009</w:t>
      </w:r>
      <w:r>
        <w:t>)</w:t>
      </w:r>
      <w:r w:rsidRPr="004D0257">
        <w:t>. “Who Follows Whom? Derrida, Animals and Women”</w:t>
      </w:r>
      <w:r>
        <w:t>,</w:t>
      </w:r>
      <w:r w:rsidRPr="004D0257">
        <w:t xml:space="preserve"> Derrida Today</w:t>
      </w:r>
      <w:r>
        <w:t>,</w:t>
      </w:r>
      <w:r w:rsidRPr="004D0257">
        <w:t xml:space="preserve"> 2</w:t>
      </w:r>
      <w:r>
        <w:t>,</w:t>
      </w:r>
      <w:r w:rsidRPr="004D0257">
        <w:t>2</w:t>
      </w:r>
      <w:r>
        <w:t>, pp. 151-165.</w:t>
      </w:r>
    </w:p>
    <w:p w:rsidR="002D463E" w:rsidRPr="004D0257" w:rsidRDefault="002D463E" w:rsidP="00066FE8">
      <w:pPr>
        <w:pStyle w:val="References"/>
      </w:pPr>
      <w:r w:rsidRPr="004D0257" w:rsidDel="000C00D9">
        <w:t xml:space="preserve"> </w:t>
      </w:r>
    </w:p>
    <w:p w:rsidR="002D463E" w:rsidRPr="004D0257" w:rsidRDefault="002D463E" w:rsidP="00066FE8">
      <w:pPr>
        <w:pStyle w:val="References"/>
      </w:pPr>
      <w:r w:rsidRPr="004D0257">
        <w:t xml:space="preserve">Lawlor, L. </w:t>
      </w:r>
      <w:r>
        <w:t>(</w:t>
      </w:r>
      <w:r w:rsidRPr="004D0257">
        <w:t>2007</w:t>
      </w:r>
      <w:r>
        <w:t>),</w:t>
      </w:r>
      <w:r w:rsidRPr="004D0257">
        <w:t xml:space="preserve"> This Is Not Sufficient</w:t>
      </w:r>
      <w:r>
        <w:t>,</w:t>
      </w:r>
      <w:r w:rsidRPr="004D0257">
        <w:t xml:space="preserve"> New York: Columbia University Press. </w:t>
      </w:r>
    </w:p>
    <w:p w:rsidR="002D463E" w:rsidRPr="004D0257" w:rsidRDefault="002D463E" w:rsidP="00066FE8">
      <w:pPr>
        <w:pStyle w:val="References"/>
      </w:pPr>
    </w:p>
    <w:p w:rsidR="002D463E" w:rsidRPr="004D0257" w:rsidRDefault="002D463E" w:rsidP="00066FE8">
      <w:pPr>
        <w:pStyle w:val="References"/>
      </w:pPr>
      <w:r w:rsidRPr="004D0257">
        <w:t xml:space="preserve">Levine, P. </w:t>
      </w:r>
      <w:r>
        <w:t>(</w:t>
      </w:r>
      <w:r w:rsidRPr="004D0257">
        <w:t>2008</w:t>
      </w:r>
      <w:r>
        <w:t>),</w:t>
      </w:r>
      <w:r w:rsidRPr="004D0257">
        <w:t xml:space="preserve"> “States of Undress: Nakedness and the Colonial Imagination”</w:t>
      </w:r>
      <w:r>
        <w:t>,</w:t>
      </w:r>
      <w:r w:rsidRPr="004D0257">
        <w:t xml:space="preserve">  Victorian Studies, 50, 2. Indiana University Pres</w:t>
      </w:r>
      <w:r>
        <w:t>s, pp. 189-219</w:t>
      </w:r>
      <w:r w:rsidRPr="004D0257">
        <w:t>.</w:t>
      </w:r>
    </w:p>
    <w:p w:rsidR="002D463E" w:rsidRPr="004D0257" w:rsidRDefault="002D463E" w:rsidP="00066FE8">
      <w:pPr>
        <w:pStyle w:val="References"/>
      </w:pPr>
    </w:p>
    <w:p w:rsidR="002D463E" w:rsidRDefault="002D463E" w:rsidP="00066FE8">
      <w:pPr>
        <w:pStyle w:val="References"/>
      </w:pPr>
      <w:r w:rsidRPr="004D0257">
        <w:t xml:space="preserve">MacKinnon, C. </w:t>
      </w:r>
      <w:r>
        <w:t>(</w:t>
      </w:r>
      <w:r w:rsidRPr="004D0257">
        <w:t>2004</w:t>
      </w:r>
      <w:r>
        <w:t>)</w:t>
      </w:r>
      <w:r w:rsidRPr="004D0257">
        <w:t>. “Of Mice and Men: A Feminist Fragment on Animal Rights” in Animal Rights: Current Debates and New Directions.</w:t>
      </w:r>
      <w:r>
        <w:t xml:space="preserve"> </w:t>
      </w:r>
      <w:r w:rsidRPr="004D0257">
        <w:t xml:space="preserve">Cass R. Susstein and Martha C. Nussbaum </w:t>
      </w:r>
      <w:r>
        <w:t>(e</w:t>
      </w:r>
      <w:r w:rsidRPr="004D0257">
        <w:t>ds</w:t>
      </w:r>
      <w:r>
        <w:t>.), New York: Oxford University Press, pp. 263-276.</w:t>
      </w:r>
    </w:p>
    <w:p w:rsidR="00066FE8" w:rsidRPr="004D0257" w:rsidRDefault="00066FE8" w:rsidP="00066FE8">
      <w:pPr>
        <w:pStyle w:val="References"/>
      </w:pPr>
    </w:p>
    <w:p w:rsidR="002D463E" w:rsidRPr="004D0257" w:rsidRDefault="002D463E" w:rsidP="00066FE8">
      <w:pPr>
        <w:pStyle w:val="References"/>
      </w:pPr>
      <w:r w:rsidRPr="004D0257">
        <w:t xml:space="preserve">Nagel, T. </w:t>
      </w:r>
      <w:r>
        <w:t>(</w:t>
      </w:r>
      <w:r w:rsidRPr="004D0257">
        <w:t>1979</w:t>
      </w:r>
      <w:r>
        <w:t>),</w:t>
      </w:r>
      <w:r w:rsidRPr="004D0257">
        <w:t xml:space="preserve"> “What Is It Like to Be a Bat?” in Mortal Questions</w:t>
      </w:r>
      <w:r>
        <w:t>,</w:t>
      </w:r>
      <w:r w:rsidRPr="004D0257">
        <w:t xml:space="preserve"> Cambridge: Cambridge University Press</w:t>
      </w:r>
      <w:r>
        <w:t>, pp. 165-180.</w:t>
      </w:r>
      <w:r w:rsidRPr="004D0257" w:rsidDel="005A5A44">
        <w:t xml:space="preserve"> </w:t>
      </w:r>
    </w:p>
    <w:p w:rsidR="002D463E" w:rsidRDefault="002D463E" w:rsidP="00066FE8">
      <w:pPr>
        <w:pStyle w:val="References"/>
      </w:pPr>
    </w:p>
    <w:p w:rsidR="002D463E" w:rsidRPr="004D0257" w:rsidRDefault="002D463E" w:rsidP="00066FE8">
      <w:pPr>
        <w:pStyle w:val="References"/>
      </w:pPr>
      <w:r w:rsidRPr="004D0257">
        <w:t xml:space="preserve">Oliver, K. </w:t>
      </w:r>
      <w:r>
        <w:t>(</w:t>
      </w:r>
      <w:r w:rsidRPr="004D0257">
        <w:t>2010</w:t>
      </w:r>
      <w:r>
        <w:t>),</w:t>
      </w:r>
      <w:r w:rsidRPr="004D0257">
        <w:t xml:space="preserve"> “Animal Ethics: Toward an Ethics of Responsiveness”</w:t>
      </w:r>
      <w:r>
        <w:t>,</w:t>
      </w:r>
      <w:r w:rsidRPr="004D0257">
        <w:t xml:space="preserve"> Research in Phenomenology, 40</w:t>
      </w:r>
      <w:r>
        <w:t>, pp. 267-280.</w:t>
      </w:r>
    </w:p>
    <w:p w:rsidR="002D463E" w:rsidRDefault="002D463E" w:rsidP="00066FE8">
      <w:pPr>
        <w:pStyle w:val="References"/>
      </w:pPr>
    </w:p>
    <w:p w:rsidR="002D463E" w:rsidRDefault="002D463E" w:rsidP="00066FE8">
      <w:pPr>
        <w:pStyle w:val="References"/>
      </w:pPr>
      <w:r w:rsidRPr="004D0257">
        <w:t xml:space="preserve">Oliver, K. </w:t>
      </w:r>
      <w:r>
        <w:t>(</w:t>
      </w:r>
      <w:r w:rsidRPr="004D0257">
        <w:t>2009</w:t>
      </w:r>
      <w:r>
        <w:t>),</w:t>
      </w:r>
      <w:r w:rsidRPr="004D0257">
        <w:t xml:space="preserve"> Animal Lessons: How They Teach Us to Be Human</w:t>
      </w:r>
      <w:r>
        <w:t>,</w:t>
      </w:r>
      <w:r w:rsidRPr="004D0257">
        <w:t xml:space="preserve"> New York: Columbia University Press.</w:t>
      </w:r>
    </w:p>
    <w:p w:rsidR="002D463E" w:rsidRPr="004D0257" w:rsidRDefault="002D463E" w:rsidP="00066FE8">
      <w:pPr>
        <w:pStyle w:val="References"/>
      </w:pPr>
    </w:p>
    <w:p w:rsidR="002D463E" w:rsidRDefault="002D463E" w:rsidP="00066FE8">
      <w:pPr>
        <w:pStyle w:val="References"/>
      </w:pPr>
      <w:r w:rsidRPr="004D0257">
        <w:t xml:space="preserve">Oliver, K. </w:t>
      </w:r>
      <w:r>
        <w:t>(</w:t>
      </w:r>
      <w:r w:rsidRPr="004D0257">
        <w:t>2007</w:t>
      </w:r>
      <w:r>
        <w:t>),</w:t>
      </w:r>
      <w:r w:rsidRPr="004D0257">
        <w:t xml:space="preserve"> “Tropho-Ethics: Derrida’s Homeopathic Purity”</w:t>
      </w:r>
      <w:r>
        <w:t>,</w:t>
      </w:r>
      <w:r w:rsidRPr="004D0257">
        <w:t xml:space="preserve"> The Harvard</w:t>
      </w:r>
      <w:r>
        <w:t xml:space="preserve"> R</w:t>
      </w:r>
      <w:r w:rsidRPr="004D0257">
        <w:t xml:space="preserve">eview of </w:t>
      </w:r>
      <w:r>
        <w:t>P</w:t>
      </w:r>
      <w:r w:rsidRPr="004D0257">
        <w:t>hilosophy, 15</w:t>
      </w:r>
      <w:r>
        <w:t>, pp. 37-57.</w:t>
      </w:r>
    </w:p>
    <w:p w:rsidR="002D463E" w:rsidRPr="004D0257" w:rsidRDefault="002D463E" w:rsidP="00066FE8">
      <w:pPr>
        <w:pStyle w:val="References"/>
      </w:pPr>
    </w:p>
    <w:p w:rsidR="002D463E" w:rsidRPr="004D0257" w:rsidRDefault="002D463E" w:rsidP="00066FE8">
      <w:pPr>
        <w:pStyle w:val="References"/>
      </w:pPr>
      <w:r w:rsidRPr="004D0257">
        <w:t>Sharpley-Whiting, T. D</w:t>
      </w:r>
      <w:r>
        <w:t>.</w:t>
      </w:r>
      <w:r w:rsidRPr="004D0257">
        <w:t xml:space="preserve"> </w:t>
      </w:r>
      <w:r>
        <w:t>(</w:t>
      </w:r>
      <w:r w:rsidRPr="004D0257">
        <w:t>1999</w:t>
      </w:r>
      <w:r>
        <w:t>),</w:t>
      </w:r>
      <w:r w:rsidRPr="004D0257">
        <w:t xml:space="preserve"> Black Venus: Sexualized Savages, Primal Fears, and Primitive Narratives in French. </w:t>
      </w:r>
      <w:r>
        <w:t xml:space="preserve">Durham: </w:t>
      </w:r>
      <w:r w:rsidRPr="004D0257">
        <w:t xml:space="preserve">Duke University Press. </w:t>
      </w:r>
    </w:p>
    <w:p w:rsidR="002D463E" w:rsidRPr="004D0257" w:rsidRDefault="002D463E" w:rsidP="00066FE8">
      <w:pPr>
        <w:pStyle w:val="References"/>
      </w:pPr>
    </w:p>
    <w:p w:rsidR="002D463E" w:rsidRPr="004D0257" w:rsidRDefault="002D463E" w:rsidP="00066FE8">
      <w:pPr>
        <w:pStyle w:val="References"/>
      </w:pPr>
      <w:r w:rsidRPr="004D0257">
        <w:t xml:space="preserve">Toadvine, T. </w:t>
      </w:r>
      <w:r>
        <w:t>(</w:t>
      </w:r>
      <w:r w:rsidRPr="004D0257">
        <w:t>2010</w:t>
      </w:r>
      <w:r>
        <w:t>),</w:t>
      </w:r>
      <w:r w:rsidRPr="004D0257">
        <w:t xml:space="preserve"> “Life Beyond Biologism”</w:t>
      </w:r>
      <w:r>
        <w:t xml:space="preserve">, </w:t>
      </w:r>
      <w:r w:rsidRPr="004D0257">
        <w:t>Research in Phenomenology, 40</w:t>
      </w:r>
      <w:r>
        <w:t>, pp. 243-266</w:t>
      </w:r>
      <w:r w:rsidRPr="004D0257">
        <w:t xml:space="preserve">. </w:t>
      </w:r>
    </w:p>
    <w:p w:rsidR="002D463E" w:rsidRPr="004D0257" w:rsidRDefault="002D463E" w:rsidP="00066FE8">
      <w:pPr>
        <w:pStyle w:val="References"/>
      </w:pPr>
    </w:p>
    <w:p w:rsidR="002D463E" w:rsidRPr="004D0257" w:rsidRDefault="002D463E" w:rsidP="00066FE8">
      <w:pPr>
        <w:pStyle w:val="References"/>
      </w:pPr>
      <w:r w:rsidRPr="004D0257">
        <w:t xml:space="preserve">Warnke, G. </w:t>
      </w:r>
      <w:r>
        <w:t>(</w:t>
      </w:r>
      <w:r w:rsidRPr="004D0257">
        <w:t>2007</w:t>
      </w:r>
      <w:r>
        <w:t>),</w:t>
      </w:r>
      <w:r w:rsidRPr="004D0257">
        <w:t xml:space="preserve"> After Identity: Rethinking Race, Sex, and Gender</w:t>
      </w:r>
      <w:r>
        <w:t>,</w:t>
      </w:r>
      <w:r w:rsidRPr="004D0257">
        <w:t xml:space="preserve"> Cambridge: Cambridge University Press. </w:t>
      </w:r>
    </w:p>
    <w:p w:rsidR="002D463E" w:rsidRPr="004D0257" w:rsidRDefault="002D463E" w:rsidP="00066FE8">
      <w:pPr>
        <w:pStyle w:val="References"/>
      </w:pPr>
    </w:p>
    <w:p w:rsidR="002D463E" w:rsidRDefault="002D463E" w:rsidP="00066FE8">
      <w:pPr>
        <w:pStyle w:val="References"/>
        <w:rPr>
          <w:lang w:val="en-US"/>
        </w:rPr>
      </w:pPr>
      <w:r w:rsidRPr="004D0257">
        <w:rPr>
          <w:lang w:val="en-US"/>
        </w:rPr>
        <w:t xml:space="preserve">Warnke, G. </w:t>
      </w:r>
      <w:r>
        <w:rPr>
          <w:lang w:val="en-US"/>
        </w:rPr>
        <w:t>(</w:t>
      </w:r>
      <w:r w:rsidRPr="004D0257">
        <w:rPr>
          <w:lang w:val="en-US"/>
        </w:rPr>
        <w:t>2001</w:t>
      </w:r>
      <w:r>
        <w:rPr>
          <w:lang w:val="en-US"/>
        </w:rPr>
        <w:t>),</w:t>
      </w:r>
      <w:r w:rsidRPr="004D0257">
        <w:rPr>
          <w:lang w:val="en-US"/>
        </w:rPr>
        <w:t xml:space="preserve"> “Intersexuality and the Categories of Sex”</w:t>
      </w:r>
      <w:r>
        <w:rPr>
          <w:lang w:val="en-US"/>
        </w:rPr>
        <w:t xml:space="preserve">, </w:t>
      </w:r>
      <w:r w:rsidRPr="004D0257">
        <w:rPr>
          <w:lang w:val="en-US"/>
        </w:rPr>
        <w:t>Hypatia</w:t>
      </w:r>
      <w:r>
        <w:rPr>
          <w:lang w:val="en-US"/>
        </w:rPr>
        <w:t>,</w:t>
      </w:r>
      <w:r w:rsidRPr="004D0257">
        <w:rPr>
          <w:lang w:val="en-US"/>
        </w:rPr>
        <w:t xml:space="preserve"> 16, 3</w:t>
      </w:r>
      <w:r>
        <w:rPr>
          <w:lang w:val="en-US"/>
        </w:rPr>
        <w:t>, pp. 126-137.</w:t>
      </w:r>
    </w:p>
    <w:p w:rsidR="002D463E" w:rsidRDefault="002D463E" w:rsidP="00066FE8">
      <w:pPr>
        <w:pStyle w:val="References"/>
        <w:rPr>
          <w:lang w:val="en-US"/>
        </w:rPr>
      </w:pPr>
    </w:p>
    <w:p w:rsidR="002D463E" w:rsidRDefault="002D463E" w:rsidP="00066FE8">
      <w:pPr>
        <w:pStyle w:val="References"/>
      </w:pPr>
      <w:r w:rsidRPr="004D0257">
        <w:t>Washington, H</w:t>
      </w:r>
      <w:r>
        <w:t>.</w:t>
      </w:r>
      <w:r w:rsidRPr="004D0257">
        <w:t xml:space="preserve"> A. </w:t>
      </w:r>
      <w:r>
        <w:t>(</w:t>
      </w:r>
      <w:r w:rsidRPr="004D0257">
        <w:t>2006</w:t>
      </w:r>
      <w:r>
        <w:t>),</w:t>
      </w:r>
      <w:r w:rsidRPr="004D0257">
        <w:t xml:space="preserve"> Medical Apartheid: The Dark History of Medical Experimentation on Black Americans from Colonial Times to the Present</w:t>
      </w:r>
      <w:r>
        <w:t>, New York: Doubleday</w:t>
      </w:r>
    </w:p>
    <w:p w:rsidR="002D463E" w:rsidRDefault="002D463E" w:rsidP="002D463E">
      <w:pPr>
        <w:spacing w:line="240" w:lineRule="auto"/>
        <w:ind w:left="720" w:hanging="720"/>
        <w:rPr>
          <w:szCs w:val="24"/>
        </w:rPr>
        <w:sectPr w:rsidR="002D463E" w:rsidSect="000175E0">
          <w:footnotePr>
            <w:numRestart w:val="eachSect"/>
          </w:footnotePr>
          <w:pgSz w:w="11907" w:h="16839" w:code="9"/>
          <w:pgMar w:top="1440" w:right="1800" w:bottom="1440" w:left="1800" w:header="720" w:footer="720" w:gutter="0"/>
          <w:cols w:space="720"/>
          <w:docGrid w:linePitch="360"/>
        </w:sectPr>
      </w:pPr>
    </w:p>
    <w:p w:rsidR="002D463E" w:rsidRPr="007F1B38" w:rsidRDefault="002D463E" w:rsidP="002D463E">
      <w:pPr>
        <w:spacing w:line="240" w:lineRule="auto"/>
        <w:ind w:left="720" w:hanging="720"/>
        <w:rPr>
          <w:szCs w:val="24"/>
          <w:lang w:val="en-US"/>
        </w:rPr>
      </w:pPr>
    </w:p>
    <w:p w:rsidR="002D463E" w:rsidRPr="004D0257" w:rsidRDefault="002D463E" w:rsidP="00066FE8">
      <w:pPr>
        <w:pStyle w:val="Heading1"/>
      </w:pPr>
      <w:bookmarkStart w:id="93" w:name="_Toc292202644"/>
      <w:r>
        <w:t>BOOK REVIEWS</w:t>
      </w:r>
      <w:bookmarkEnd w:id="93"/>
    </w:p>
    <w:p w:rsidR="00066FE8" w:rsidRDefault="00066FE8" w:rsidP="00860F40"/>
    <w:p w:rsidR="00066FE8" w:rsidRDefault="00066FE8" w:rsidP="00860F40">
      <w:pPr>
        <w:pStyle w:val="Heading1"/>
      </w:pPr>
      <w:bookmarkStart w:id="94" w:name="_Toc292202645"/>
      <w:r>
        <w:rPr>
          <w:i/>
        </w:rPr>
        <w:t>The Beast and the Sovereign</w:t>
      </w:r>
      <w:r>
        <w:t xml:space="preserve"> </w:t>
      </w:r>
      <w:r w:rsidRPr="00860F40">
        <w:rPr>
          <w:i/>
          <w:iCs/>
        </w:rPr>
        <w:t>volume 1</w:t>
      </w:r>
      <w:bookmarkEnd w:id="94"/>
    </w:p>
    <w:p w:rsidR="00066FE8" w:rsidRDefault="00860F40" w:rsidP="00860F40">
      <w:pPr>
        <w:pStyle w:val="Heading1"/>
      </w:pPr>
      <w:bookmarkStart w:id="95" w:name="_Toc292202646"/>
      <w:r>
        <w:t>b</w:t>
      </w:r>
      <w:r w:rsidR="00066FE8">
        <w:t>y Jacques Derrida</w:t>
      </w:r>
      <w:r>
        <w:t xml:space="preserve"> (2009)</w:t>
      </w:r>
      <w:bookmarkEnd w:id="95"/>
    </w:p>
    <w:p w:rsidR="00066FE8" w:rsidRDefault="00066FE8" w:rsidP="00860F40"/>
    <w:p w:rsidR="00D83B96" w:rsidRDefault="00066FE8" w:rsidP="00066FE8">
      <w:pPr>
        <w:pStyle w:val="Heading1"/>
      </w:pPr>
      <w:bookmarkStart w:id="96" w:name="_Toc292202647"/>
      <w:r>
        <w:t xml:space="preserve">Reviewed by </w:t>
      </w:r>
      <w:r w:rsidR="00D83B96">
        <w:t>Matt Applegate</w:t>
      </w:r>
      <w:r w:rsidR="00111B89">
        <w:rPr>
          <w:rStyle w:val="FootnoteReference"/>
        </w:rPr>
        <w:footnoteReference w:id="74"/>
      </w:r>
      <w:bookmarkEnd w:id="96"/>
    </w:p>
    <w:p w:rsidR="00D83B96" w:rsidRPr="00EF52F6" w:rsidRDefault="00D83B96" w:rsidP="00D83B96"/>
    <w:p w:rsidR="00D83B96" w:rsidRDefault="00D83B96" w:rsidP="00D83B96">
      <w:r>
        <w:t xml:space="preserve">Volume one of </w:t>
      </w:r>
      <w:r>
        <w:rPr>
          <w:i/>
        </w:rPr>
        <w:t>The Beast and the Sovereign</w:t>
      </w:r>
      <w:r>
        <w:t xml:space="preserve"> offers the first of two seminars given by Jacques Derrida from 2001-2003 on the relation between animality and sovereignty. As such, it also offers insight into Derrida’s intellectual trajectory and body of published work: </w:t>
      </w:r>
      <w:r>
        <w:rPr>
          <w:i/>
        </w:rPr>
        <w:t>On Cosmopolitanism and Forgiveness</w:t>
      </w:r>
      <w:r>
        <w:t xml:space="preserve">, </w:t>
      </w:r>
      <w:r>
        <w:rPr>
          <w:i/>
        </w:rPr>
        <w:t>The Work of Mourning</w:t>
      </w:r>
      <w:r>
        <w:t xml:space="preserve">, </w:t>
      </w:r>
      <w:r>
        <w:rPr>
          <w:i/>
        </w:rPr>
        <w:t>Acts of Religion</w:t>
      </w:r>
      <w:r>
        <w:t xml:space="preserve">, and </w:t>
      </w:r>
      <w:r>
        <w:rPr>
          <w:i/>
        </w:rPr>
        <w:t>Philosophy in a Time of Terror: Dialogues with Jürgen Habermas and Jacques Derrida</w:t>
      </w:r>
      <w:r>
        <w:t xml:space="preserve"> are just some of the works published during the period in which the lectures were given. </w:t>
      </w:r>
      <w:r w:rsidRPr="006D4412">
        <w:t xml:space="preserve">Derrida also refers back to </w:t>
      </w:r>
      <w:r w:rsidRPr="006D4412">
        <w:rPr>
          <w:i/>
        </w:rPr>
        <w:t>The Beast and the Sovereign</w:t>
      </w:r>
      <w:r w:rsidRPr="006D4412">
        <w:t xml:space="preserve"> lectures in </w:t>
      </w:r>
      <w:r w:rsidRPr="006D4412">
        <w:rPr>
          <w:i/>
        </w:rPr>
        <w:t>Rogues: Two Essays on Reason</w:t>
      </w:r>
      <w:r>
        <w:t xml:space="preserve">, published in 2004, where he performs an interrogation of sovereignty in an inverse fashion to that featured in lectures, briefly focusing on the relation of the werewolf to the outlaw, of the animal to the </w:t>
      </w:r>
      <w:r>
        <w:rPr>
          <w:i/>
        </w:rPr>
        <w:t>voyou</w:t>
      </w:r>
      <w:r>
        <w:t xml:space="preserve"> </w:t>
      </w:r>
      <w:r w:rsidRPr="00736DE5">
        <w:t>in its communal and political formation,</w:t>
      </w:r>
      <w:r>
        <w:t xml:space="preserve"> what he terms the </w:t>
      </w:r>
      <w:r w:rsidRPr="006D4412">
        <w:rPr>
          <w:i/>
        </w:rPr>
        <w:t>voyoucracy</w:t>
      </w:r>
      <w:r>
        <w:t xml:space="preserve"> </w:t>
      </w:r>
      <w:r w:rsidRPr="006D4412">
        <w:t>(69).</w:t>
      </w:r>
      <w:r w:rsidRPr="000A3104">
        <w:t xml:space="preserve"> </w:t>
      </w:r>
      <w:r>
        <w:t xml:space="preserve">Arguably, however, </w:t>
      </w:r>
      <w:r>
        <w:rPr>
          <w:i/>
        </w:rPr>
        <w:t>The Beast and the Sovereign</w:t>
      </w:r>
      <w:r>
        <w:t xml:space="preserve"> lectures are not merely supplementary materials to the published works or minor inquiries within Derrida’s corpus into sovereign formation. Rather, arguments posed in volume one of </w:t>
      </w:r>
      <w:r>
        <w:rPr>
          <w:i/>
        </w:rPr>
        <w:t>The Beast and the Sovereign</w:t>
      </w:r>
      <w:r>
        <w:t xml:space="preserve"> can be located at the heart of dominant themes in Derrida’s later work including, but not limited to, a democracy to come, conditional and unconditional hospitality, calculability and incalculability, and </w:t>
      </w:r>
      <w:r w:rsidRPr="004D0137">
        <w:t>the relation shared between state sovereignty, terrorism, and rogue states</w:t>
      </w:r>
      <w:r>
        <w:t xml:space="preserve">. Moreover, </w:t>
      </w:r>
      <w:r>
        <w:rPr>
          <w:i/>
        </w:rPr>
        <w:t xml:space="preserve">The Beast and the Sovereign </w:t>
      </w:r>
      <w:r>
        <w:t xml:space="preserve">lectures complicate these themes as Derrida locates the relation between animality and sovereignty as central to a deconstruction of the nation-state and central to a deconstruction of the logic by which it persists. </w:t>
      </w:r>
      <w:r w:rsidRPr="00007CC0">
        <w:t>In th</w:t>
      </w:r>
      <w:r>
        <w:t>e third session of the lectures,</w:t>
      </w:r>
      <w:r w:rsidRPr="00007CC0">
        <w:t xml:space="preserve"> </w:t>
      </w:r>
      <w:r>
        <w:t xml:space="preserve">Derrida states this intention </w:t>
      </w:r>
      <w:r w:rsidRPr="00007CC0">
        <w:t>explicitly</w:t>
      </w:r>
      <w:r>
        <w:t xml:space="preserve">: </w:t>
      </w:r>
    </w:p>
    <w:p w:rsidR="00066FE8" w:rsidRPr="00563887" w:rsidRDefault="00066FE8" w:rsidP="00D83B96"/>
    <w:p w:rsidR="00D83B96" w:rsidRDefault="00D83B96" w:rsidP="0064541B">
      <w:pPr>
        <w:pStyle w:val="Quote"/>
      </w:pPr>
      <w:r>
        <w:t>What I am seeking, elsewhere but in particular in this seminar, is a prudent deconstruction  . . .  of the dominant, classical concept of nation-state sovereignty (which is Schmitt’s reference), without ending up with a depoliticization, a neutralization of the political (</w:t>
      </w:r>
      <w:r>
        <w:rPr>
          <w:i/>
        </w:rPr>
        <w:t>Entpolitisieriung</w:t>
      </w:r>
      <w:r>
        <w:t xml:space="preserve">), but with another politicization, a repoliticization that does not fall in the same ruts of ‘dishonest fiction’—while what an ‘honest fiction’ can be, and on which concept of fiction one is relying, remains to be found out. (75) </w:t>
      </w:r>
    </w:p>
    <w:p w:rsidR="00066FE8" w:rsidRDefault="00066FE8" w:rsidP="00D83B96">
      <w:pPr>
        <w:ind w:left="720"/>
      </w:pPr>
    </w:p>
    <w:p w:rsidR="00D83B96" w:rsidRDefault="00D83B96" w:rsidP="00D83B96">
      <w:r>
        <w:t xml:space="preserve">Derrida would echo and reformulate this sentiment three years later in </w:t>
      </w:r>
      <w:r>
        <w:rPr>
          <w:i/>
        </w:rPr>
        <w:t>Rogues</w:t>
      </w:r>
      <w:r>
        <w:t xml:space="preserve">, citing </w:t>
      </w:r>
      <w:r w:rsidRPr="0067682A">
        <w:t>the process of</w:t>
      </w:r>
      <w:r>
        <w:t xml:space="preserve"> deconstruction to be simultaneously </w:t>
      </w:r>
      <w:r w:rsidRPr="0067682A">
        <w:t xml:space="preserve">the </w:t>
      </w:r>
      <w:r>
        <w:t>recreation of rationality, of its conditions of possibility, and thus the methods by which it would operate</w:t>
      </w:r>
      <w:r w:rsidRPr="0067682A">
        <w:t xml:space="preserve">: </w:t>
      </w:r>
    </w:p>
    <w:p w:rsidR="00066FE8" w:rsidRPr="0067682A" w:rsidRDefault="00066FE8" w:rsidP="00D83B96"/>
    <w:p w:rsidR="00D83B96" w:rsidRDefault="00D83B96" w:rsidP="0064541B">
      <w:pPr>
        <w:pStyle w:val="Quote"/>
      </w:pPr>
      <w:r>
        <w:t xml:space="preserve">Can we not and </w:t>
      </w:r>
      <w:r>
        <w:rPr>
          <w:i/>
        </w:rPr>
        <w:t>must</w:t>
      </w:r>
      <w:r>
        <w:t xml:space="preserve"> we not distinguish, even when this appears impossible, between, on the one hand, the compulsion or autopositioning of sovereignty . . . and, on the other hand, this postulation of unconditionality, which can be found in the critical exigency as well as the (forgive the expression) deconstructive exigency of reason? In the name of reason? </w:t>
      </w:r>
      <w:r w:rsidRPr="004566D5">
        <w:t>For deconstruction, if something of the sort exists, would remain above all, in my view, an unconditional rationalism that never renounces . . . the possibility of suspending in an argued, deliberated, rational fashion, all conditions, hypotheses, conventions, and presuppositions, and of criticizing unconditionally all conditionalities, including those that still found the critical idea, namel</w:t>
      </w:r>
      <w:r>
        <w:t xml:space="preserve">y, those of the </w:t>
      </w:r>
      <w:r w:rsidRPr="004566D5">
        <w:rPr>
          <w:i/>
        </w:rPr>
        <w:t>krinein,</w:t>
      </w:r>
      <w:r>
        <w:t xml:space="preserve"> of the </w:t>
      </w:r>
      <w:r w:rsidRPr="004566D5">
        <w:rPr>
          <w:i/>
        </w:rPr>
        <w:t>krisis</w:t>
      </w:r>
      <w:r w:rsidRPr="004566D5">
        <w:t>, of the binary or dialectical decision or judgment</w:t>
      </w:r>
      <w:r>
        <w:t>. (142).</w:t>
      </w:r>
    </w:p>
    <w:p w:rsidR="00066FE8" w:rsidRDefault="00066FE8" w:rsidP="00D83B96">
      <w:pPr>
        <w:ind w:left="720"/>
      </w:pPr>
    </w:p>
    <w:p w:rsidR="00D83B96" w:rsidRDefault="00D83B96" w:rsidP="00D83B96">
      <w:r w:rsidRPr="0067682A">
        <w:t>It is then clear that Derrida</w:t>
      </w:r>
      <w:r>
        <w:t>’s inquiry into the relation of sovereignty and animality</w:t>
      </w:r>
      <w:r w:rsidRPr="0067682A">
        <w:t xml:space="preserve"> is a radical philosophical inquiry positioned against and beyond state sovereignty.</w:t>
      </w:r>
      <w:r>
        <w:t xml:space="preserve"> It is also clear that Derrida characterizes the </w:t>
      </w:r>
      <w:r>
        <w:rPr>
          <w:i/>
        </w:rPr>
        <w:t>logos</w:t>
      </w:r>
      <w:r>
        <w:t xml:space="preserve"> and nation-state sovereignty to be intertwined, material constructs, contingent, and thus deconstructable. But in what ways does a consideration of the animal inform processes of deconstruction? How is a consideration of the animal central to </w:t>
      </w:r>
      <w:r w:rsidRPr="001163B6">
        <w:t xml:space="preserve">a deconstruction of the </w:t>
      </w:r>
      <w:r w:rsidRPr="001163B6">
        <w:rPr>
          <w:i/>
        </w:rPr>
        <w:t>logos</w:t>
      </w:r>
      <w:r w:rsidRPr="001163B6">
        <w:t xml:space="preserve"> as reason and to the sovereignty of the state? </w:t>
      </w:r>
    </w:p>
    <w:p w:rsidR="00066FE8" w:rsidRPr="001163B6" w:rsidRDefault="00066FE8" w:rsidP="00D83B96"/>
    <w:p w:rsidR="00D83B96" w:rsidRDefault="00D83B96" w:rsidP="00D83B96">
      <w:r>
        <w:t>While Derrida covers much in the thirteen sessions comprising the first seminar, two sections in particular address the problems and questions established above. In session two, Derrida announces the importance of a political</w:t>
      </w:r>
      <w:r w:rsidRPr="000B3202">
        <w:t xml:space="preserve"> dissymmetry</w:t>
      </w:r>
      <w:r>
        <w:t xml:space="preserve"> expressed in the phrase “the sovereign </w:t>
      </w:r>
      <w:r>
        <w:rPr>
          <w:i/>
        </w:rPr>
        <w:t>like</w:t>
      </w:r>
      <w:r>
        <w:t xml:space="preserve"> a God, </w:t>
      </w:r>
      <w:r>
        <w:rPr>
          <w:i/>
        </w:rPr>
        <w:t>like a beast</w:t>
      </w:r>
      <w:r>
        <w:t xml:space="preserve">” (57). On Derrida’s view, the formation of sovereign power and the methods by which it operates have historically been assumed to be both ‘proper to man’ and positioned in-between two figures: God, a figure of absolute sovereignty above the law, and the beast or the animal, a figure below the law, without recourse to </w:t>
      </w:r>
      <w:r w:rsidRPr="00B23A74">
        <w:t>sovereign power</w:t>
      </w:r>
      <w:r>
        <w:t xml:space="preserve"> or right. The relation between the beast and the sovereign thus rests on the operation of sovereign power as a relation of force. And it is from this sovereign formation, the sovereign </w:t>
      </w:r>
      <w:r>
        <w:rPr>
          <w:i/>
        </w:rPr>
        <w:t>like</w:t>
      </w:r>
      <w:r>
        <w:t xml:space="preserve"> a God, the sovereign </w:t>
      </w:r>
      <w:r>
        <w:rPr>
          <w:i/>
        </w:rPr>
        <w:t>like</w:t>
      </w:r>
      <w:r>
        <w:t xml:space="preserve"> a beast, that the relation between sovereignty and reason, between arguments posed in </w:t>
      </w:r>
      <w:r>
        <w:rPr>
          <w:i/>
        </w:rPr>
        <w:t>The Beast and the Sovereign</w:t>
      </w:r>
      <w:r>
        <w:t xml:space="preserve"> and, later, in </w:t>
      </w:r>
      <w:r>
        <w:rPr>
          <w:i/>
        </w:rPr>
        <w:t>Rogues</w:t>
      </w:r>
      <w:r>
        <w:t xml:space="preserve">, become enmeshed. In </w:t>
      </w:r>
      <w:r w:rsidRPr="000B3202">
        <w:t>this eighth</w:t>
      </w:r>
      <w:r>
        <w:t xml:space="preserve"> seminar, Derrida writes: </w:t>
      </w:r>
    </w:p>
    <w:p w:rsidR="00066FE8" w:rsidRDefault="00066FE8" w:rsidP="00D83B96"/>
    <w:p w:rsidR="00D83B96" w:rsidRDefault="00D83B96" w:rsidP="0064541B">
      <w:pPr>
        <w:pStyle w:val="Quote"/>
      </w:pPr>
      <w:r>
        <w:t xml:space="preserve">The word “reason,” </w:t>
      </w:r>
      <w:r>
        <w:rPr>
          <w:i/>
        </w:rPr>
        <w:t>on the one hand</w:t>
      </w:r>
      <w:r>
        <w:t>, the reason given, alleged presumed by the stronger, whether or not he be right [</w:t>
      </w:r>
      <w:r>
        <w:rPr>
          <w:i/>
        </w:rPr>
        <w:t>avoir raison</w:t>
      </w:r>
      <w:r>
        <w:t xml:space="preserve">], whether or not this reason be rational or not . . . and “reason,” </w:t>
      </w:r>
      <w:r>
        <w:rPr>
          <w:i/>
        </w:rPr>
        <w:t>on the other hand</w:t>
      </w:r>
      <w:r>
        <w:t>, can name the right that he has [</w:t>
      </w:r>
      <w:r>
        <w:rPr>
          <w:i/>
        </w:rPr>
        <w:t>la raison qu’il a</w:t>
      </w:r>
      <w:r>
        <w:t xml:space="preserve">], the good and just reason he has to exercise his force and make it predominate, his greater and higher power, his sovereign power, his all-power, his superlative power, his sovereignty. Whence the third means or third implication of the idiomatic use the word “reason,” namely that the sovereign . . . acts as if he had reason to judge and legitimate the reason he gives because he is the strongest . . . (208). </w:t>
      </w:r>
    </w:p>
    <w:p w:rsidR="00066FE8" w:rsidRDefault="00066FE8" w:rsidP="00D83B96">
      <w:pPr>
        <w:ind w:left="720" w:hanging="720"/>
      </w:pPr>
    </w:p>
    <w:p w:rsidR="00066FE8" w:rsidRDefault="00D83B96" w:rsidP="00066FE8">
      <w:r>
        <w:t xml:space="preserve">Here, we are witness to the ongoing coproduction of rationality and sovereign power, to the coproduction of the law and to the material conditions of possibility for rationality itself. However, within Derrida’s schema, the coproduction of the law and of rationality concomitantly produces sovereignty as both the reason of the stronger and an irrational and ambiguous figure. One is unable to discern between the sovereign beyond the law as God, as the individual with the right not to respond to the law, to suspend the law, and to stand beyond the law in silence, or as the beast, the form of life that the law does not recognize, is not allowed to accept, and thus forcefully positioned outside of it in silence. </w:t>
      </w:r>
    </w:p>
    <w:p w:rsidR="007B5C33" w:rsidRDefault="00D83B96" w:rsidP="00D83B96">
      <w:r>
        <w:tab/>
      </w:r>
    </w:p>
    <w:p w:rsidR="00D83B96" w:rsidRDefault="00D83B96" w:rsidP="00D83B96">
      <w:r>
        <w:t xml:space="preserve">The work of sovereign power is at once twofold. On the one hand, Derrida provides a description of the ways in which sovereign power understood as the reason of the stronger operates. On the other hand, Derrida provides a description of the formation of sovereign power as the reason of the stronger that reveals the beast or the animal to constitutive of it, and thus internal to it. Here, we are reminded of the figure of the Other in </w:t>
      </w:r>
      <w:r>
        <w:rPr>
          <w:i/>
        </w:rPr>
        <w:t>The Other Heading</w:t>
      </w:r>
      <w:r>
        <w:t xml:space="preserve">, the figure of the enemy in </w:t>
      </w:r>
      <w:r>
        <w:rPr>
          <w:i/>
        </w:rPr>
        <w:t>Politics of Friendship</w:t>
      </w:r>
      <w:r>
        <w:t xml:space="preserve">, or the figure of the foreigner in </w:t>
      </w:r>
      <w:r>
        <w:rPr>
          <w:i/>
        </w:rPr>
        <w:t>Of Hospitality</w:t>
      </w:r>
      <w:r>
        <w:t>. It is accordingly the function of sovereign power, its actual operation, that provides the conditions for its deconstruction and, as Derrida will argue, provides the conditions for the deconstruction of what is thought to be ‘proper to man.’ Thus, the animal emerges in the seminar as something more than a trope or a figure against which sovereign power is established.</w:t>
      </w:r>
    </w:p>
    <w:p w:rsidR="007B5C33" w:rsidRDefault="00D83B96" w:rsidP="00D83B96">
      <w:r>
        <w:tab/>
      </w:r>
    </w:p>
    <w:p w:rsidR="00D83B96" w:rsidRDefault="00D83B96" w:rsidP="00D83B96">
      <w:r>
        <w:t xml:space="preserve">As the lectures move toward their conclusion, an interrogation </w:t>
      </w:r>
      <w:r w:rsidRPr="00A40F36">
        <w:t>of the material existence of sovereign power and its philosophical construction with and against God and the animal, calls what is ‘proper to man’ into question.</w:t>
      </w:r>
      <w:r>
        <w:t xml:space="preserve"> The twelfth seminar, largely dedicated to a critique of Giorgio Agamben’s formulation of </w:t>
      </w:r>
      <w:r w:rsidRPr="00AD782D">
        <w:rPr>
          <w:i/>
        </w:rPr>
        <w:t>bios</w:t>
      </w:r>
      <w:r>
        <w:t xml:space="preserve"> and </w:t>
      </w:r>
      <w:r w:rsidRPr="00AD782D">
        <w:rPr>
          <w:i/>
        </w:rPr>
        <w:t>zoe</w:t>
      </w:r>
      <w:r>
        <w:t xml:space="preserve"> in </w:t>
      </w:r>
      <w:r w:rsidRPr="00AD782D">
        <w:rPr>
          <w:i/>
        </w:rPr>
        <w:t>Homo Sacer</w:t>
      </w:r>
      <w:r>
        <w:t xml:space="preserve"> and </w:t>
      </w:r>
      <w:r>
        <w:rPr>
          <w:i/>
        </w:rPr>
        <w:t>State of Exception</w:t>
      </w:r>
      <w:r>
        <w:t>, lays the groundwork for a deconstruction of ‘what is proper to man,’ a deconstructio</w:t>
      </w:r>
      <w:r w:rsidRPr="00AA433A">
        <w:t>n of sovereign power</w:t>
      </w:r>
      <w:r w:rsidRPr="00201420">
        <w:rPr>
          <w:color w:val="FF0000"/>
        </w:rPr>
        <w:t xml:space="preserve"> </w:t>
      </w:r>
      <w:r w:rsidRPr="00AA433A">
        <w:t>as the reason of the stronger</w:t>
      </w:r>
      <w:r>
        <w:t>,</w:t>
      </w:r>
      <w:r w:rsidRPr="00AA433A">
        <w:t xml:space="preserve"> </w:t>
      </w:r>
      <w:r>
        <w:t xml:space="preserve">and thus the logic by which it persists, in and through a critique of Martin Heidegger. On Derrida’s account, Heidegger’s task is the </w:t>
      </w:r>
      <w:r>
        <w:rPr>
          <w:i/>
        </w:rPr>
        <w:t>Introduction to Metaphysics</w:t>
      </w:r>
      <w:r>
        <w:t xml:space="preserve"> is to “rethink in an original way the relation between </w:t>
      </w:r>
      <w:r>
        <w:rPr>
          <w:i/>
        </w:rPr>
        <w:t xml:space="preserve">logos </w:t>
      </w:r>
      <w:r>
        <w:t xml:space="preserve">and </w:t>
      </w:r>
      <w:r>
        <w:rPr>
          <w:i/>
        </w:rPr>
        <w:t>physis</w:t>
      </w:r>
      <w:r>
        <w:t>,” between what we can roughly call reason and nature and one’s ethical obligation to nature (317). Further, this project leads Heidegger to question how “</w:t>
      </w:r>
      <w:r>
        <w:rPr>
          <w:i/>
        </w:rPr>
        <w:t>logos</w:t>
      </w:r>
      <w:r>
        <w:t xml:space="preserve">, as reason and understanding, [came] to reign . . . over Being at the beginning of Greek philosophy” (318). These tasks operate in and through a double movement that, on the one hand, attempt to liberate Being from the violently imposed sovereignty of </w:t>
      </w:r>
      <w:r>
        <w:rPr>
          <w:i/>
        </w:rPr>
        <w:t>logos</w:t>
      </w:r>
      <w:r>
        <w:t xml:space="preserve"> as reason, but, on the other hand, establish a line of demarcation between the human and the animal that reserves ethics for the human as the human is distinguished from the animal absolutely. Here, Derrida identifies two projects in Heidegger’s </w:t>
      </w:r>
      <w:r>
        <w:rPr>
          <w:i/>
        </w:rPr>
        <w:t>Letter on Humanism</w:t>
      </w:r>
      <w:r>
        <w:t xml:space="preserve"> that provide the basis for his critique. </w:t>
      </w:r>
    </w:p>
    <w:p w:rsidR="007B5C33" w:rsidRDefault="00D83B96" w:rsidP="00066FE8">
      <w:pPr>
        <w:pStyle w:val="Quote"/>
      </w:pPr>
      <w:r>
        <w:tab/>
      </w:r>
    </w:p>
    <w:p w:rsidR="00D83B96" w:rsidRDefault="00D83B96" w:rsidP="0064541B">
      <w:pPr>
        <w:pStyle w:val="Quote"/>
      </w:pPr>
      <w:r>
        <w:t xml:space="preserve">1. </w:t>
      </w:r>
      <w:r>
        <w:rPr>
          <w:i/>
        </w:rPr>
        <w:t>First stage</w:t>
      </w:r>
      <w:r>
        <w:t xml:space="preserve">. Heidegger wants first of all to show that the determination of man as a </w:t>
      </w:r>
      <w:r>
        <w:rPr>
          <w:i/>
        </w:rPr>
        <w:t>rational animal</w:t>
      </w:r>
      <w:r>
        <w:t xml:space="preserve"> is insufficiently humanist, as it were, that is misses the humanity of man, what is proper to man. And what thus misses the essence of man is metaphysics. 2. </w:t>
      </w:r>
      <w:r>
        <w:rPr>
          <w:i/>
        </w:rPr>
        <w:t>Second stage</w:t>
      </w:r>
      <w:r>
        <w:t>. Heidegger denounces the biologism, the biologistic reduction of this definition of man. And that means that the metaphysics of classical humanism, the metaphysics that is not humanistic enough, is deep down, the ally of, accomplice of biologism and zoologism. (322)</w:t>
      </w:r>
    </w:p>
    <w:p w:rsidR="007B5C33" w:rsidRPr="007B5C33" w:rsidRDefault="007B5C33" w:rsidP="007B5C33"/>
    <w:p w:rsidR="00D83B96" w:rsidRDefault="00D83B96" w:rsidP="00D83B96">
      <w:r>
        <w:t xml:space="preserve">It is thus, for Derrida, the relation of biologism and zoologism, </w:t>
      </w:r>
      <w:r>
        <w:rPr>
          <w:i/>
        </w:rPr>
        <w:t>bios</w:t>
      </w:r>
      <w:r>
        <w:t xml:space="preserve"> and </w:t>
      </w:r>
      <w:r>
        <w:rPr>
          <w:i/>
        </w:rPr>
        <w:t>zoe</w:t>
      </w:r>
      <w:r>
        <w:t xml:space="preserve">, that prefigures the relation shared between sovereignty and reason. </w:t>
      </w:r>
    </w:p>
    <w:p w:rsidR="007B5C33" w:rsidRPr="002B66AE" w:rsidRDefault="007B5C33" w:rsidP="00D83B96"/>
    <w:p w:rsidR="00D83B96" w:rsidRDefault="00D83B96" w:rsidP="00D83B96">
      <w:pPr>
        <w:sectPr w:rsidR="00D83B96" w:rsidSect="000175E0">
          <w:footnotePr>
            <w:numRestart w:val="eachSect"/>
          </w:footnotePr>
          <w:pgSz w:w="11907" w:h="16839" w:code="9"/>
          <w:pgMar w:top="1440" w:right="1800" w:bottom="1440" w:left="1800" w:header="720" w:footer="720" w:gutter="0"/>
          <w:cols w:space="720"/>
          <w:docGrid w:linePitch="360"/>
        </w:sectPr>
      </w:pPr>
      <w:r>
        <w:t>It is precisely in the relation of biologism and zoologism, what others have termed bio-power, that, following Heidegger, works to establish ‘what is proper to man,’ that attempts to liberate the ‘humanity of man’ from its relation to the irrational, the inhuman, the unclean, the animal, and return it to its pure Being. However, the intervention that much of the</w:t>
      </w:r>
      <w:r>
        <w:rPr>
          <w:i/>
        </w:rPr>
        <w:t xml:space="preserve"> </w:t>
      </w:r>
      <w:r>
        <w:t xml:space="preserve">lectures works toward is precisely that in the relation of biologism and zoologism another politicization, a repoliticization against the nation-state, against ‘what is proper to man,’ against sovereignty as the reason of the stronger, can be fomented. And it is through the relation of biologism and zoologism in favor of politicization against and beyond the state that the question of the animal is established as central to processes of deconstruction. </w:t>
      </w:r>
      <w:r>
        <w:rPr>
          <w:i/>
        </w:rPr>
        <w:t>The Beast and the Sovereign</w:t>
      </w:r>
      <w:r>
        <w:t xml:space="preserve"> lectures thus provide a fertile complex of philosophical and political relations that works to position the question of the animal centrally within philosophical discourse itself and necessitates a consideration of the animal within radical or anti-statist philosophical and political projects. Finally, </w:t>
      </w:r>
      <w:r>
        <w:rPr>
          <w:i/>
        </w:rPr>
        <w:t>The Beast and the Sovereign</w:t>
      </w:r>
      <w:r>
        <w:t xml:space="preserve"> lectures complicate both the formation and operation of bio-power and bio-politics, illustrating that a consideration of biologism and zoologism without concomitantly thinking the relation of animality and sovereignty lacks a critical insight into the operation of bio-power and into possible positive projects for bio-politics. In this way, Derrida positions his later philosophical work in conversation with Agamben, Michel Foucault, and Antonio Negri while laying a clear path of inquiry for the second seminar.</w:t>
      </w:r>
    </w:p>
    <w:p w:rsidR="00860F40" w:rsidRPr="00860F40" w:rsidRDefault="00066FE8" w:rsidP="00066FE8">
      <w:pPr>
        <w:pStyle w:val="Heading1"/>
        <w:rPr>
          <w:i/>
          <w:iCs/>
        </w:rPr>
      </w:pPr>
      <w:bookmarkStart w:id="97" w:name="_Toc292202648"/>
      <w:r w:rsidRPr="00860F40">
        <w:rPr>
          <w:i/>
          <w:iCs/>
        </w:rPr>
        <w:t>What is Posthumanism?</w:t>
      </w:r>
      <w:bookmarkEnd w:id="97"/>
      <w:r w:rsidR="00860F40" w:rsidRPr="00860F40">
        <w:rPr>
          <w:i/>
          <w:iCs/>
        </w:rPr>
        <w:t xml:space="preserve"> </w:t>
      </w:r>
    </w:p>
    <w:p w:rsidR="00066FE8" w:rsidRDefault="00860F40" w:rsidP="00066FE8">
      <w:pPr>
        <w:pStyle w:val="Heading1"/>
      </w:pPr>
      <w:bookmarkStart w:id="98" w:name="_Toc292202649"/>
      <w:r>
        <w:t>by Cary Wolfe (2009)</w:t>
      </w:r>
      <w:bookmarkEnd w:id="98"/>
    </w:p>
    <w:p w:rsidR="00066FE8" w:rsidRPr="00860F40" w:rsidRDefault="00066FE8" w:rsidP="00860F40">
      <w:pPr>
        <w:rPr>
          <w:lang w:val="en-CA"/>
        </w:rPr>
      </w:pPr>
    </w:p>
    <w:p w:rsidR="00D83B96" w:rsidRDefault="00066FE8" w:rsidP="00066FE8">
      <w:pPr>
        <w:pStyle w:val="Heading1"/>
      </w:pPr>
      <w:bookmarkStart w:id="99" w:name="_Toc292202650"/>
      <w:r>
        <w:t xml:space="preserve">Reviewed by </w:t>
      </w:r>
      <w:r w:rsidR="00D83B96">
        <w:t>Greg Pollock</w:t>
      </w:r>
      <w:r w:rsidR="00111B89">
        <w:rPr>
          <w:rStyle w:val="FootnoteReference"/>
        </w:rPr>
        <w:footnoteReference w:id="75"/>
      </w:r>
      <w:bookmarkEnd w:id="99"/>
    </w:p>
    <w:p w:rsidR="00D83B96" w:rsidRDefault="00D83B96" w:rsidP="00D83B96">
      <w:pPr>
        <w:pStyle w:val="BodyA"/>
        <w:rPr>
          <w:rFonts w:ascii="Times New Roman Italic" w:hAnsi="Times New Roman Italic"/>
        </w:rPr>
      </w:pPr>
    </w:p>
    <w:p w:rsidR="00D83B96" w:rsidRDefault="00D83B96" w:rsidP="00D83B96">
      <w:pPr>
        <w:pStyle w:val="BodyA"/>
        <w:rPr>
          <w:rFonts w:ascii="Times New Roman" w:hAnsi="Times New Roman"/>
        </w:rPr>
      </w:pPr>
      <w:r>
        <w:rPr>
          <w:rFonts w:ascii="Times New Roman" w:hAnsi="Times New Roman"/>
        </w:rPr>
        <w:tab/>
      </w:r>
    </w:p>
    <w:p w:rsidR="00D83B96" w:rsidRDefault="00D83B96" w:rsidP="00860F40">
      <w:r>
        <w:t xml:space="preserve">As I prepared to read Cary Wolfe's latest book, </w:t>
      </w:r>
      <w:r>
        <w:rPr>
          <w:rFonts w:ascii="Times New Roman Italic" w:hAnsi="Times New Roman Italic"/>
        </w:rPr>
        <w:t>What is Posthumanism?</w:t>
      </w:r>
      <w:r>
        <w:t xml:space="preserve">, I wondered how much hermeneutic effort would be required to answer the titular question. To my pleasure, Wolfe gives a clear definition of what he means by “posthumanism,” and how it contrasts with others' usage, in the first few pages. For Wolfe, posthumanism is the set of questions confronting us, and way of dealing with those questions, when we can no longer rely on “the human” as an autonomous, rational being who provides an Archimedean point for knowing about the world (in contrast to "humanism," which uses such a figure to ground further claims). </w:t>
      </w:r>
    </w:p>
    <w:p w:rsidR="007B5C33" w:rsidRDefault="00D83B96" w:rsidP="00860F40">
      <w:r>
        <w:tab/>
      </w:r>
    </w:p>
    <w:p w:rsidR="00D83B96" w:rsidRDefault="00D83B96" w:rsidP="007B5C33">
      <w:r>
        <w:t>Wolfe’s posthumanism should be taken as “</w:t>
      </w:r>
      <w:r w:rsidR="00DD5281">
        <w:t>after humanism” rather than the</w:t>
      </w:r>
      <w:r>
        <w:t xml:space="preserve">-ism form of a substantive being called “the posthuman.”  Both traditional humanism and the techno-ecstasy of “the posthuman” or “transhuman,” he argues, lead to “an </w:t>
      </w:r>
      <w:r>
        <w:rPr>
          <w:rFonts w:ascii="Times New Roman Italic" w:hAnsi="Times New Roman Italic"/>
        </w:rPr>
        <w:t>intensification</w:t>
      </w:r>
      <w:r>
        <w:t xml:space="preserve"> of humanism” because they retain the fundamental gesture of leaving behind constraint in liberating their real selves (xv). All humanisms share some conception of freedom—autonomy, agency, intention, and rationality are popular ones—that secures exceptional ontological value for humans through nonhuman lack.  In addition to distinguishing his position from humanism and transhumanism, Wolfe points out that there are also real and valuable differences even among those who share his basic coordinates, like Donna Haraway, Bruno Latour and Judith Butler. </w:t>
      </w:r>
    </w:p>
    <w:p w:rsidR="007B5C33" w:rsidRDefault="00D83B96" w:rsidP="00860F40">
      <w:r>
        <w:tab/>
      </w:r>
    </w:p>
    <w:p w:rsidR="00D83B96" w:rsidRDefault="00D83B96" w:rsidP="007B5C33">
      <w:r>
        <w:t xml:space="preserve">Those allied figures are largely absent from </w:t>
      </w:r>
      <w:r>
        <w:rPr>
          <w:rFonts w:ascii="Times New Roman Italic" w:hAnsi="Times New Roman Italic"/>
        </w:rPr>
        <w:t>What is Posthumanism?</w:t>
      </w:r>
      <w:r>
        <w:t xml:space="preserve">, in which Jacques Derrida and Niklas Luhmann do the lion’s share of the theoretical labor (and as a result, one’s opinion of the book will depend largely on one’s feelings about those two and Wolfe’s reading of them). Wolfe’s combination of different intellectual traditions is refreshing: though Derrida is only obliquely challenged (over vegetarianism, more about which later), Wolfe’s juxtaposition of Derridean deconstruction (widely disseminated in US literature departments) with similar moves in second-order systems theory (largely neglected by US literature departments) recovers what was radical and invigorating about Derrida in the first place.  </w:t>
      </w:r>
    </w:p>
    <w:p w:rsidR="007B5C33" w:rsidRDefault="00D83B96" w:rsidP="00860F40">
      <w:r>
        <w:tab/>
      </w:r>
    </w:p>
    <w:p w:rsidR="00D83B96" w:rsidRDefault="00D83B96" w:rsidP="00860F40">
      <w:r>
        <w:t xml:space="preserve">Glossing Dietrich Schwanitz, Wolfe notes how deconstruction and systems theory mirror each other around the relation between impossibility and possibility: </w:t>
      </w:r>
    </w:p>
    <w:p w:rsidR="007B5C33" w:rsidRDefault="007B5C33" w:rsidP="00860F40">
      <w:pPr>
        <w:pStyle w:val="Quote"/>
      </w:pPr>
    </w:p>
    <w:p w:rsidR="00D83B96" w:rsidRDefault="00D83B96" w:rsidP="0064541B">
      <w:pPr>
        <w:pStyle w:val="Quote"/>
      </w:pPr>
      <w:r>
        <w:t>the starting point for systems theory is the question of what makes order possible and how highly organized complexity, which is highly improbable, comes into being at all. Deconstruction, on the other hand, begins with taken-for-granted intransigent structures of logocentrism and the metaphysics of presence that are already ensconced in textual and institutional form, and then asks how the subversion of those structures by thei</w:t>
      </w:r>
      <w:r w:rsidR="007B5C33">
        <w:t>r own elements can be revealed.</w:t>
      </w:r>
      <w:r>
        <w:t xml:space="preserve"> (13-4)</w:t>
      </w:r>
    </w:p>
    <w:p w:rsidR="00860F40" w:rsidRDefault="00860F40" w:rsidP="00860F40"/>
    <w:p w:rsidR="00860F40" w:rsidRDefault="00D83B96" w:rsidP="00860F40">
      <w:r>
        <w:t xml:space="preserve">Deconstruction and second-order systems theory start from opposite questions—how can we show incoherence? how can we understand coherence?—but proceed, Wolfe suggests, through essentially the same maneuvers. </w:t>
      </w:r>
    </w:p>
    <w:p w:rsidR="007B5C33" w:rsidRDefault="00D83B96" w:rsidP="00860F40">
      <w:r>
        <w:tab/>
      </w:r>
    </w:p>
    <w:p w:rsidR="00D83B96" w:rsidRDefault="00D83B96" w:rsidP="00860F40">
      <w:r>
        <w:t xml:space="preserve">For Luhmann, a system engages with its environment precisely because it is closed to it; “openness from closure” is something of a mantra for </w:t>
      </w:r>
      <w:r>
        <w:rPr>
          <w:rFonts w:ascii="Times New Roman Italic" w:hAnsi="Times New Roman Italic"/>
        </w:rPr>
        <w:t>What is Posthumanism?</w:t>
      </w:r>
      <w:r>
        <w:t xml:space="preserve"> (15).  All references by a system to other beings in the environment are really references to designations originating from the system’s own structure.  Wolfe cites the example of the legal system: “legal” and “illegal” is the fundamental distinction of the juridical world, but both designations originate from the “legal” half (15). This, of course, is the problematic Kant laid out for modern philosophy, from which Hegelian dialectics was supposed to supply escape. The Hegelian response is not specifically taken up in </w:t>
      </w:r>
      <w:r>
        <w:rPr>
          <w:rFonts w:ascii="Times New Roman Italic" w:hAnsi="Times New Roman Italic"/>
        </w:rPr>
        <w:t>What is Posthumanism?</w:t>
      </w:r>
      <w:r>
        <w:t xml:space="preserve">, though one of its more popular forms, Žižek’s Lacanian Marxism, is discussed with regard to </w:t>
      </w:r>
      <w:r>
        <w:rPr>
          <w:rFonts w:ascii="Times New Roman Italic" w:hAnsi="Times New Roman Italic"/>
        </w:rPr>
        <w:t xml:space="preserve">Dancer in the Dark </w:t>
      </w:r>
      <w:r>
        <w:t xml:space="preserve">in chapter 7, where Wolfe argues that Žižek conserves a metaphysics of voice to provide coherence for the subject.  In short, the dialectical way out of Kant’s “settlement with skepticism,” to use Cavell’s frequently cited formulation, is either too local and unable to address the second-order complexity of the system/environment relation, or makes ontological generalizations by re-importing substance by another name (70). </w:t>
      </w:r>
    </w:p>
    <w:p w:rsidR="0064541B" w:rsidRDefault="0064541B" w:rsidP="00860F40"/>
    <w:p w:rsidR="00D83B96" w:rsidRDefault="00D83B96" w:rsidP="00860F40">
      <w:r>
        <w:t>Where Kant concedes that self-reference is inescapable but finds solace in the power of reason to recognize its formal limits—most notably in the sublime experience, which Wolfe revisits in chapters 8 and 9—Luhmann refuses any sleight of hand to surmount Kant’s original insight that systems are self referential.  But—and here’s why Luhmann is so important to Wolfe’s posthumanism—by insisting on this closure, Luhmann is also able to accept the paradox that, because this border is not permeable, self-reference is simultaneously hetero-reference.  To continue with the juridical example, the legal system builds up internal complexity (the different kinds of courts, for example) by reference to its fundamental self-instituted distinction (legal/illegal), and at the same time that internal complexity constitutes an ongoing response to the complexity of its environment.  And whereas the dialectical solution to Kant’s impasse revolved around “the subject”—</w:t>
      </w:r>
      <w:r>
        <w:rPr>
          <w:rFonts w:ascii="Times New Roman Italic" w:hAnsi="Times New Roman Italic"/>
        </w:rPr>
        <w:t>The German Ideology</w:t>
      </w:r>
      <w:r>
        <w:t xml:space="preserve"> makes that critique as well as any text, and, as Derrida argues in </w:t>
      </w:r>
      <w:r>
        <w:rPr>
          <w:rFonts w:ascii="Times New Roman Italic" w:hAnsi="Times New Roman Italic"/>
        </w:rPr>
        <w:t>Specters of Marx</w:t>
      </w:r>
      <w:r>
        <w:t xml:space="preserve">, marks the spectrality of the Marxian “subject”—Luhmann’s account of the simultaneity of self- and hetero-reference works for any system because it is not founded, like the Kantian or Hegelian solutions, on the humanist assumption that there is a thing called “the subject” that centers or escapes from or redeems an otherwise constrained world.  </w:t>
      </w:r>
    </w:p>
    <w:p w:rsidR="007B5C33" w:rsidRDefault="00D83B96" w:rsidP="00860F40">
      <w:r>
        <w:tab/>
      </w:r>
    </w:p>
    <w:p w:rsidR="00D83B96" w:rsidRDefault="00D83B96" w:rsidP="00860F40">
      <w:r>
        <w:t xml:space="preserve">Without the humanist baggage, Luhmann’s second-order systems theory departs from its more programmatic first-order incarnations (associated with the likes of Norbert Weiner and Gregory Bateson) in a movement paralleling that from structuralism to poststructuralism. In each case, the application of powerful explanatory mechanisms to the emergence of the discourse itself (as in Derrida’s “White Mythology”) reveals and undercuts (“deconstructs”) the hidden, exceptional position conserved in the theorist-as-subject.  Wolfe’s close comparison of their procedures and conclusions shows that the humanist hypothesis has been rigorously devalued by both its scientific and philosophical/aesthetic (institutionally, “the humanities”) achievements.  </w:t>
      </w:r>
    </w:p>
    <w:p w:rsidR="007B5C33" w:rsidRDefault="00D83B96" w:rsidP="00860F40">
      <w:r>
        <w:tab/>
      </w:r>
    </w:p>
    <w:p w:rsidR="00D83B96" w:rsidRDefault="00D83B96" w:rsidP="00860F40">
      <w:r>
        <w:t xml:space="preserve">Wolfe’s theorization of posthumanism is not a wildly new creation—and I don’t think he claims it to be—so much as a synthesis of two of the most important and comprehensive schools of contemporary thought.  His glosses of Derrida’s and Luhmann’s demanding texts are as clear as humanly possible, and he is consistently crisp in his criticisms of vestigial humanist habits in purportedly posthumanist projects. In chapter 4 Wolfe maps the permutations of humanism and posthumanism as a useful reference for positioning himself (and Haraway, Butler, Latour, etc.) vis-a-vis, on the one hand, anti-foundationalists like Žižek and Richard Rorty who nevertheless reconstruct a world where humans are special and on top, and on the other hand, animal rights philosophers like Tom Regan and Peter Singer who argue that nonhumans are ethically equal to humans but do so through traditional humanist categories. </w:t>
      </w:r>
    </w:p>
    <w:p w:rsidR="007B5C33" w:rsidRDefault="007B5C33" w:rsidP="00860F40"/>
    <w:p w:rsidR="00D83B96" w:rsidRDefault="00D83B96" w:rsidP="00860F40">
      <w:r>
        <w:t xml:space="preserve">Over against humanist posthumanism and posthumanist humanism, Wolfe argues we need to “find a mode of thought adequate” to the demands of posthumanist posthumanism (xviii). Thus the site of intervention for </w:t>
      </w:r>
      <w:r>
        <w:rPr>
          <w:rFonts w:ascii="Times New Roman Italic" w:hAnsi="Times New Roman Italic"/>
        </w:rPr>
        <w:t>What</w:t>
      </w:r>
      <w:r>
        <w:t xml:space="preserve"> </w:t>
      </w:r>
      <w:r>
        <w:rPr>
          <w:rFonts w:ascii="Times New Roman Italic" w:hAnsi="Times New Roman Italic"/>
        </w:rPr>
        <w:t>is Posthumanism?</w:t>
      </w:r>
      <w:r>
        <w:t xml:space="preserve"> is decisively that of philosophy and thought: </w:t>
      </w:r>
    </w:p>
    <w:p w:rsidR="007B5C33" w:rsidRDefault="007B5C33" w:rsidP="00860F40"/>
    <w:p w:rsidR="00D83B96" w:rsidRDefault="00D83B96" w:rsidP="0064541B">
      <w:pPr>
        <w:pStyle w:val="Quote"/>
      </w:pPr>
      <w:r>
        <w:t xml:space="preserve">when we talk about posthumanism, we are not just talking about a thematics of the decentering of the human in relation to either evolutionary, ecological, or technological coordinates...rather, I will insist that we are also talking about </w:t>
      </w:r>
      <w:r>
        <w:rPr>
          <w:rFonts w:ascii="Times New Roman Italic" w:hAnsi="Times New Roman Italic"/>
        </w:rPr>
        <w:t>how</w:t>
      </w:r>
      <w:r>
        <w:t xml:space="preserve"> thinking confronts that thematics, what thought has to becomes in</w:t>
      </w:r>
      <w:r w:rsidR="007B5C33">
        <w:t xml:space="preserve"> the face of those challenges. </w:t>
      </w:r>
      <w:r>
        <w:t>(xvi)</w:t>
      </w:r>
    </w:p>
    <w:p w:rsidR="007B5C33" w:rsidRPr="007B5C33" w:rsidRDefault="007B5C33" w:rsidP="007B5C33"/>
    <w:p w:rsidR="00D83B96" w:rsidRDefault="00D83B96" w:rsidP="00860F40">
      <w:r>
        <w:t>The commitment to the problematic of “thought” is consistent with Wolfe’s application of the principle of “openness from closure” in the domain of academic disciplinarity. The posthumanities, he argues, should not be an interdisciplinary muddle that renders the academic palette gray, but a set of heterogeneous disciplines enriching each other by knowing their own material the best— as he demonstrates convincingly in chapter 2, applying Derrida’s work to Daniel Dennett’s slippery use of “language.”</w:t>
      </w:r>
    </w:p>
    <w:p w:rsidR="007B5C33" w:rsidRDefault="007B5C33" w:rsidP="00860F40"/>
    <w:p w:rsidR="00D83B96" w:rsidRDefault="00D83B96" w:rsidP="00860F40">
      <w:r>
        <w:t xml:space="preserve">At the same time, the emphasis on “thought” displaces attention to actual nonhuman beings in </w:t>
      </w:r>
      <w:r>
        <w:rPr>
          <w:rFonts w:ascii="Times New Roman Italic" w:hAnsi="Times New Roman Italic"/>
        </w:rPr>
        <w:t>What is Posthumanism?</w:t>
      </w:r>
      <w:r>
        <w:t xml:space="preserve">.  This is not to say that Wolfe’s conception of “thought” is a side door for a uniquely human capability—it isn’t. It just has the effect of making actual nonhumans less relevant to the conversation.  This is the complication Haraway has raised regarding Derrida’s essay “The Animal that Therefore I am (More to Follow).” Even when Derrida speaks of seeing “a real cat, truly, believe me, a </w:t>
      </w:r>
      <w:r>
        <w:rPr>
          <w:rFonts w:ascii="Times New Roman Italic" w:hAnsi="Times New Roman Italic"/>
        </w:rPr>
        <w:t>little cat</w:t>
      </w:r>
      <w:r>
        <w:t xml:space="preserve">. It isn’t the figure of a cat,” he still turns the encounter with the cat into a site to reflect on the “textual canon of Western philosophy and literature” rather than “become curious about what the cat might actually be doing, feeling, thinking.” (Derrida 374; Haraway 19-20). Wolfe’s discussion of representationalism in activist art and architecture in chapters 6 and 8, respectively, is just as apt as Derrida’s rejection of “imperializing” ways of seeing animals, but likewise remains more curious about human artifacts than actually existing nonhumans. </w:t>
      </w:r>
    </w:p>
    <w:p w:rsidR="007B5C33" w:rsidRDefault="00D83B96" w:rsidP="00860F40">
      <w:r>
        <w:tab/>
      </w:r>
    </w:p>
    <w:p w:rsidR="007B5C33" w:rsidRDefault="00D83B96" w:rsidP="00860F40">
      <w:r>
        <w:t xml:space="preserve">Linked to this, the discussion of ethics remains at the level of Derrida’s studied refusal to commit to rules that could provide a shoehorn for the calculability of the other. There is “an essential tension in Derrida’s work on ethics between his insistence that we pay vigilant attention to the particular instance of decision...without letting formulae or maxims do the work for us, and a general law or economy of iterability that would render such decisions nonuniversalizable” (96). In concluding his excellent survey of different modalities of humanism in the ethical consideration of nonhumans in chapter 3, Wolfe writes that: </w:t>
      </w:r>
    </w:p>
    <w:p w:rsidR="007B5C33" w:rsidRDefault="007B5C33" w:rsidP="00860F40"/>
    <w:p w:rsidR="00D83B96" w:rsidRDefault="00D83B96" w:rsidP="0064541B">
      <w:pPr>
        <w:pStyle w:val="Quote"/>
      </w:pPr>
      <w:r>
        <w:t>Derrida is of little use in enabling us to formulate new guidelines about particular surgical or experimental procedures...But he is of immense use in forcing us to live with the fact that no matter how such policies are drawn, the distinction between human and animal shoul</w:t>
      </w:r>
      <w:r w:rsidR="007B5C33">
        <w:t>d be of no use in drawing them.</w:t>
      </w:r>
      <w:r>
        <w:t xml:space="preserve"> (98)</w:t>
      </w:r>
    </w:p>
    <w:p w:rsidR="007B5C33" w:rsidRPr="007B5C33" w:rsidRDefault="007B5C33" w:rsidP="007B5C33"/>
    <w:p w:rsidR="00D83B96" w:rsidRDefault="00D83B96" w:rsidP="00860F40">
      <w:r>
        <w:t xml:space="preserve">Ethics is split between a “pragmatically determined” instance of the singular decision and the yet-to-come structure of “the ethical” that deconstructs the generalization of any actual law.  Vegetarian or vegan commitments, which would appear like a justified response to the particular procedures of factory farming, are ethically suspect because they reintroduce rules not determined by the singularity of the occasion.  The deconstructive vegan would therefore be pushed into some form of ethical occasionalism to say that never eating meat (because its production as “meat” is only conceivable within the horizon of “the distinction between human and animal”) is, on each discontinuous occasion, a pragmatic determination based on the particular slaughter of the being whose flesh is on offer, rather than because the meat-making industry is brutally humanist and then some.  Such ethical occasionalism wouldn’t be a terrible attitude to have about flesh-eating, but it seems more complicated and less honest than it could be. </w:t>
      </w:r>
    </w:p>
    <w:p w:rsidR="007B5C33" w:rsidRDefault="007B5C33" w:rsidP="00860F40"/>
    <w:p w:rsidR="00D83B96" w:rsidRDefault="00D83B96" w:rsidP="00860F40">
      <w:r>
        <w:t xml:space="preserve">Rather, the second-order systems theory running throughout </w:t>
      </w:r>
      <w:r>
        <w:rPr>
          <w:rFonts w:ascii="Times New Roman Italic" w:hAnsi="Times New Roman Italic"/>
        </w:rPr>
        <w:t>What is Posthumanism?</w:t>
      </w:r>
      <w:r>
        <w:t xml:space="preserve"> provides a vocabulary for articulating sumptuary and deconstructive commitments together. The Derridean commitment to non-commitment isn’t uncertainty—it is really the foundational ethical gesture toward “the ethical” itself.  But the object of ethics, as acknowledged in its “pragmatic” moment, is not just "the ethical" but the actual beings outside of that system. Thus the self-reference of the ethical, its accrual of internal complexity, is absolutely cut off from actual other systems </w:t>
      </w:r>
      <w:r>
        <w:rPr>
          <w:rFonts w:ascii="Times New Roman Italic" w:hAnsi="Times New Roman Italic"/>
        </w:rPr>
        <w:t>and</w:t>
      </w:r>
      <w:r>
        <w:t xml:space="preserve"> therefore subject to them at the same time.  The ethical attitude toward “the ethical” must “re-enter” (one of Wolfe’s favorite terms) ontic determinations, and should do so on the basis of the deconstruction of the human/animal distinction. This would yield an iterative commitment more like the oath sworn on the not-present specter in </w:t>
      </w:r>
      <w:r>
        <w:rPr>
          <w:rFonts w:ascii="Times New Roman Italic" w:hAnsi="Times New Roman Italic"/>
        </w:rPr>
        <w:t xml:space="preserve">Specters of Marx </w:t>
      </w:r>
      <w:r>
        <w:t xml:space="preserve">than the rule criticized by Derrida in “Eating Well.” </w:t>
      </w:r>
    </w:p>
    <w:p w:rsidR="007B5C33" w:rsidRDefault="007B5C33" w:rsidP="00860F40"/>
    <w:p w:rsidR="00D83B96" w:rsidRDefault="00D83B96" w:rsidP="00860F40">
      <w:r>
        <w:t xml:space="preserve">As is often the case in </w:t>
      </w:r>
      <w:r>
        <w:rPr>
          <w:rFonts w:ascii="Times New Roman Italic" w:hAnsi="Times New Roman Italic"/>
        </w:rPr>
        <w:t>What is Posthumanism?</w:t>
      </w:r>
      <w:r>
        <w:t xml:space="preserve">, there is not space here to pursue this line of thought fully.  Wolfe does not dispatch the question of posthumanism but clarify it as the meta-framework for future research agendas in the erstwhile humanities. </w:t>
      </w:r>
      <w:r>
        <w:rPr>
          <w:rFonts w:ascii="Times New Roman Italic" w:hAnsi="Times New Roman Italic"/>
        </w:rPr>
        <w:t>What is Posthumanism?</w:t>
      </w:r>
      <w:r>
        <w:t xml:space="preserve"> is not beyond critique, but relevant objections will still inhabit the philosophical world that Wolfe has mapped in this book.</w:t>
      </w:r>
    </w:p>
    <w:p w:rsidR="00D83B96" w:rsidRDefault="00D83B96" w:rsidP="00D83B96">
      <w:pPr>
        <w:pStyle w:val="BodyA"/>
        <w:rPr>
          <w:rFonts w:ascii="Times New Roman" w:hAnsi="Times New Roman"/>
        </w:rPr>
      </w:pPr>
    </w:p>
    <w:p w:rsidR="00D83B96" w:rsidRDefault="00D83B96" w:rsidP="00860F40">
      <w:pPr>
        <w:pStyle w:val="Heading3"/>
      </w:pPr>
      <w:r>
        <w:t>References</w:t>
      </w:r>
    </w:p>
    <w:p w:rsidR="00D83B96" w:rsidRDefault="00D83B96" w:rsidP="00D83B96">
      <w:pPr>
        <w:pStyle w:val="BodyA"/>
        <w:rPr>
          <w:rFonts w:ascii="Times New Roman" w:hAnsi="Times New Roman"/>
        </w:rPr>
      </w:pPr>
    </w:p>
    <w:p w:rsidR="00D83B96" w:rsidRDefault="00D83B96" w:rsidP="00860F40">
      <w:pPr>
        <w:pStyle w:val="References"/>
      </w:pPr>
      <w:r w:rsidRPr="00860F40">
        <w:t>Derrida, J</w:t>
      </w:r>
      <w:r w:rsidR="00860F40">
        <w:t>., (2004)</w:t>
      </w:r>
      <w:r w:rsidRPr="00860F40">
        <w:t xml:space="preserve"> Specters of Marx. Trans. Peggy Kamuf. London: Routledge, 2004.</w:t>
      </w:r>
    </w:p>
    <w:p w:rsidR="00860F40" w:rsidRPr="00860F40" w:rsidRDefault="00860F40" w:rsidP="00860F40">
      <w:pPr>
        <w:pStyle w:val="References"/>
      </w:pPr>
    </w:p>
    <w:p w:rsidR="00D83B96" w:rsidRDefault="00D83B96" w:rsidP="00860F40">
      <w:pPr>
        <w:pStyle w:val="References"/>
      </w:pPr>
      <w:r w:rsidRPr="00860F40">
        <w:t xml:space="preserve">---. </w:t>
      </w:r>
      <w:r w:rsidR="00860F40">
        <w:t xml:space="preserve">(2002) </w:t>
      </w:r>
      <w:r w:rsidRPr="00860F40">
        <w:t>"The Animal That Therefore I Am (More to Follow)." Trans. David Wills. Critical Inquiry</w:t>
      </w:r>
      <w:r w:rsidR="00860F40">
        <w:t xml:space="preserve"> 28</w:t>
      </w:r>
      <w:r w:rsidRPr="00860F40">
        <w:t xml:space="preserve">: 369-418. </w:t>
      </w:r>
    </w:p>
    <w:p w:rsidR="00860F40" w:rsidRPr="00860F40" w:rsidRDefault="00860F40" w:rsidP="00860F40">
      <w:pPr>
        <w:pStyle w:val="References"/>
      </w:pPr>
    </w:p>
    <w:p w:rsidR="00D83B96" w:rsidRDefault="00D83B96" w:rsidP="00860F40">
      <w:pPr>
        <w:pStyle w:val="References"/>
      </w:pPr>
      <w:r w:rsidRPr="00860F40">
        <w:t>---.</w:t>
      </w:r>
      <w:r w:rsidR="00860F40">
        <w:t xml:space="preserve"> (1984)</w:t>
      </w:r>
      <w:r w:rsidRPr="00860F40">
        <w:t xml:space="preserve"> "White Mythology." In Margins of Philosophy. Trans. Alan Bass. Chicago: Univers</w:t>
      </w:r>
      <w:r w:rsidR="00860F40">
        <w:t>ity of Chicago Press.</w:t>
      </w:r>
    </w:p>
    <w:p w:rsidR="00860F40" w:rsidRPr="00860F40" w:rsidRDefault="00860F40" w:rsidP="00860F40">
      <w:pPr>
        <w:pStyle w:val="References"/>
      </w:pPr>
    </w:p>
    <w:p w:rsidR="00860F40" w:rsidRDefault="00D83B96" w:rsidP="00860F40">
      <w:pPr>
        <w:pStyle w:val="References"/>
      </w:pPr>
      <w:r w:rsidRPr="00860F40">
        <w:t>Derrida, J</w:t>
      </w:r>
      <w:r w:rsidR="00860F40">
        <w:t>., and Jean-Luc N</w:t>
      </w:r>
      <w:r w:rsidRPr="00860F40">
        <w:t xml:space="preserve">. </w:t>
      </w:r>
      <w:r w:rsidR="00860F40">
        <w:t xml:space="preserve">(1991) </w:t>
      </w:r>
      <w:r w:rsidRPr="00860F40">
        <w:t xml:space="preserve">“Eating Well, or the Calculation of the Subject: an Interview with Jacques Derrida.” In Who Comes After the Subject?. Eds. Eduardo Cadava, Peter Connor and Jean-Luc Nancy. London: Routledge, </w:t>
      </w:r>
    </w:p>
    <w:p w:rsidR="007B5C33" w:rsidRPr="00860F40" w:rsidRDefault="007B5C33" w:rsidP="00860F40">
      <w:pPr>
        <w:pStyle w:val="References"/>
      </w:pPr>
    </w:p>
    <w:p w:rsidR="00D83B96" w:rsidRDefault="00860F40" w:rsidP="00860F40">
      <w:pPr>
        <w:pStyle w:val="References"/>
      </w:pPr>
      <w:r>
        <w:t>Haraway, D (2008)</w:t>
      </w:r>
      <w:r w:rsidR="00D83B96" w:rsidRPr="00860F40">
        <w:t>. When Species Meet. Minneapolis: Univ</w:t>
      </w:r>
      <w:r>
        <w:t xml:space="preserve">ersity of Minnesota Press, </w:t>
      </w:r>
    </w:p>
    <w:p w:rsidR="00860F40" w:rsidRPr="00860F40" w:rsidRDefault="00860F40" w:rsidP="00860F40">
      <w:pPr>
        <w:pStyle w:val="References"/>
      </w:pPr>
    </w:p>
    <w:p w:rsidR="007B5C33" w:rsidRDefault="00D83B96" w:rsidP="007B5C33">
      <w:pPr>
        <w:pStyle w:val="References"/>
      </w:pPr>
      <w:r w:rsidRPr="00860F40">
        <w:t xml:space="preserve">Marx, Karl. </w:t>
      </w:r>
      <w:r w:rsidR="00860F40">
        <w:t xml:space="preserve">(1998) </w:t>
      </w:r>
      <w:r w:rsidRPr="00860F40">
        <w:t>The German Ideology. Amhe</w:t>
      </w:r>
      <w:r w:rsidR="00860F40">
        <w:t>rst, NY: Prometheus Books.</w:t>
      </w:r>
    </w:p>
    <w:p w:rsidR="007B5C33" w:rsidRPr="00860F40" w:rsidRDefault="007B5C33" w:rsidP="007B5C33">
      <w:pPr>
        <w:pStyle w:val="References"/>
      </w:pPr>
    </w:p>
    <w:p w:rsidR="00D83B96" w:rsidRPr="00860F40" w:rsidRDefault="00D83B96" w:rsidP="00860F40">
      <w:pPr>
        <w:pStyle w:val="References"/>
      </w:pPr>
      <w:r w:rsidRPr="00860F40">
        <w:t xml:space="preserve">Wolfe, Cary. </w:t>
      </w:r>
      <w:r w:rsidR="00860F40">
        <w:t xml:space="preserve">(2010) </w:t>
      </w:r>
      <w:r w:rsidRPr="00860F40">
        <w:t>What is Posthumanism?  Minneapolis:</w:t>
      </w:r>
      <w:r w:rsidR="00860F40">
        <w:t xml:space="preserve"> University of Minnesota Press.</w:t>
      </w:r>
    </w:p>
    <w:p w:rsidR="00D83B96" w:rsidRDefault="00D83B96" w:rsidP="00D83B96">
      <w:pPr>
        <w:rPr>
          <w:lang w:val="en-US"/>
        </w:rPr>
        <w:sectPr w:rsidR="00D83B96" w:rsidSect="000175E0">
          <w:footnotePr>
            <w:numRestart w:val="eachSect"/>
          </w:footnotePr>
          <w:pgSz w:w="11907" w:h="16839" w:code="9"/>
          <w:pgMar w:top="1440" w:right="1800" w:bottom="1440" w:left="1800" w:header="720" w:footer="720" w:gutter="0"/>
          <w:cols w:space="720"/>
          <w:docGrid w:linePitch="360"/>
        </w:sectPr>
      </w:pPr>
    </w:p>
    <w:p w:rsidR="000175E0" w:rsidRDefault="000175E0" w:rsidP="00F63083">
      <w:pPr>
        <w:pStyle w:val="Heading1"/>
        <w:rPr>
          <w:rStyle w:val="Heading2Char"/>
        </w:rPr>
      </w:pPr>
      <w:bookmarkStart w:id="100" w:name="_Toc260123346"/>
      <w:bookmarkStart w:id="101" w:name="_Toc260152831"/>
      <w:bookmarkStart w:id="102" w:name="_Toc226860714"/>
      <w:bookmarkStart w:id="103" w:name="_Toc260384409"/>
      <w:bookmarkStart w:id="104" w:name="_Toc260389234"/>
      <w:bookmarkStart w:id="105" w:name="_Toc292202654"/>
      <w:r>
        <w:rPr>
          <w:rStyle w:val="Heading2Char"/>
        </w:rPr>
        <w:t xml:space="preserve">JCAS: </w:t>
      </w:r>
      <w:r w:rsidRPr="009F33FF">
        <w:rPr>
          <w:rStyle w:val="Heading2Char"/>
        </w:rPr>
        <w:t>A</w:t>
      </w:r>
      <w:bookmarkEnd w:id="102"/>
      <w:r w:rsidRPr="009F33FF">
        <w:rPr>
          <w:rStyle w:val="Heading2Char"/>
        </w:rPr>
        <w:t>UTHOR GUIDELINES</w:t>
      </w:r>
      <w:bookmarkEnd w:id="100"/>
      <w:bookmarkEnd w:id="101"/>
      <w:bookmarkEnd w:id="103"/>
      <w:bookmarkEnd w:id="104"/>
      <w:bookmarkEnd w:id="105"/>
      <w:r w:rsidRPr="009F33FF">
        <w:rPr>
          <w:rStyle w:val="Heading2Char"/>
        </w:rPr>
        <w:t xml:space="preserve"> </w:t>
      </w:r>
    </w:p>
    <w:p w:rsidR="000175E0" w:rsidRDefault="000175E0" w:rsidP="000175E0">
      <w:pPr>
        <w:pStyle w:val="Guidelines"/>
        <w:rPr>
          <w:rStyle w:val="Heading2Char"/>
        </w:rPr>
      </w:pPr>
    </w:p>
    <w:p w:rsidR="000175E0" w:rsidRDefault="000175E0" w:rsidP="000175E0">
      <w:pPr>
        <w:pStyle w:val="Guidelines"/>
        <w:rPr>
          <w:b/>
          <w:bCs/>
        </w:rPr>
      </w:pPr>
      <w:r w:rsidRPr="006F144A">
        <w:rPr>
          <w:b/>
          <w:bCs/>
        </w:rPr>
        <w:t>Editorial Objectives</w:t>
      </w:r>
    </w:p>
    <w:p w:rsidR="000175E0" w:rsidRPr="006F144A" w:rsidRDefault="000175E0" w:rsidP="000175E0">
      <w:pPr>
        <w:pStyle w:val="Guidelines"/>
        <w:rPr>
          <w:b/>
          <w:bCs/>
        </w:rPr>
      </w:pPr>
    </w:p>
    <w:p w:rsidR="000175E0" w:rsidRDefault="000175E0" w:rsidP="000175E0">
      <w:pPr>
        <w:pStyle w:val="Guidelines"/>
      </w:pPr>
      <w:r w:rsidRPr="002601BA">
        <w:rPr>
          <w:b/>
          <w:bCs/>
        </w:rPr>
        <w:t xml:space="preserve">The Journal for Critical Animal Studies is open to all </w:t>
      </w:r>
      <w:r>
        <w:t xml:space="preserve">scholars and activists. The journal was established for the purpose of fostering academic study of critical animal issues in contemporary society. While animal studies are increasingly becoming a field of importance in the academy, much work being done under this moniker take a reformist or depoliticized approach that fails to mount more serious critique of underlying issues of political economy and speciesist philosophy. </w:t>
      </w:r>
    </w:p>
    <w:p w:rsidR="000175E0" w:rsidRDefault="000175E0" w:rsidP="000175E0">
      <w:pPr>
        <w:pStyle w:val="Guidelines"/>
      </w:pPr>
    </w:p>
    <w:p w:rsidR="000175E0" w:rsidRDefault="000175E0" w:rsidP="000175E0">
      <w:pPr>
        <w:pStyle w:val="Guidelines"/>
      </w:pPr>
      <w:r>
        <w:t>JCAS is an interdisciplinary journal with an emphasis on animal liberation philosophy and policy issues. This journal was designed to build up the common activist’s knowledge of animal liberation while at the same time appealing to academic specialists to address the important topic of animal liberation. We encourage and actively pursue a diversity of viewpoints of contributors from the frontlines of activism to academics. We have created the journal for the purpose of facilitating communication between the many diverse perspectives of the animal rights movement. Thus, we especially encourage submissions that seek to create new syntheses between differing disputing parties and to explore paradigms not currently examined.</w:t>
      </w:r>
    </w:p>
    <w:p w:rsidR="000175E0" w:rsidRDefault="000175E0" w:rsidP="000175E0">
      <w:pPr>
        <w:pStyle w:val="Guidelines"/>
      </w:pPr>
    </w:p>
    <w:p w:rsidR="000175E0" w:rsidRDefault="000175E0" w:rsidP="000175E0">
      <w:pPr>
        <w:pStyle w:val="Guidelines"/>
        <w:rPr>
          <w:b/>
          <w:bCs/>
        </w:rPr>
      </w:pPr>
      <w:r>
        <w:rPr>
          <w:b/>
          <w:bCs/>
        </w:rPr>
        <w:t>Suggested Topics</w:t>
      </w:r>
    </w:p>
    <w:p w:rsidR="000175E0" w:rsidRDefault="000175E0" w:rsidP="000175E0">
      <w:pPr>
        <w:pStyle w:val="Guidelines"/>
        <w:rPr>
          <w:b/>
          <w:bCs/>
        </w:rPr>
      </w:pPr>
    </w:p>
    <w:p w:rsidR="000175E0" w:rsidRPr="002601BA" w:rsidRDefault="000175E0" w:rsidP="000175E0">
      <w:pPr>
        <w:spacing w:line="240" w:lineRule="auto"/>
        <w:rPr>
          <w:sz w:val="16"/>
        </w:rPr>
      </w:pPr>
      <w:r w:rsidRPr="002601BA">
        <w:rPr>
          <w:sz w:val="16"/>
        </w:rPr>
        <w:t>Papers are welcomed on any area of animal liberation philosophy from any discipline, and presenters are encouraged to share theses or dissertation chapters. Because a major goal of the Institute for Critical Animal Studies is to foster philosophical, critical, and analytic thinking about animal liberation, papers that contribute to this project will be given priority (especially papers that address critical theory, political philosophy, social movement analysis, tactical analysis, feminist, activism and academia, Continental philosophy or post-colonial perspectives). We especially encourage contributions that engage animal liberation in disciplines and debates that have received little previous attention. The following are a few topic suggestions:</w:t>
      </w:r>
    </w:p>
    <w:p w:rsidR="000175E0" w:rsidRDefault="000175E0" w:rsidP="000175E0">
      <w:pPr>
        <w:pStyle w:val="Guidelines"/>
      </w:pPr>
    </w:p>
    <w:p w:rsidR="000175E0" w:rsidRPr="000A3920" w:rsidRDefault="000175E0" w:rsidP="000175E0">
      <w:pPr>
        <w:pStyle w:val="Guidelines"/>
        <w:rPr>
          <w:b/>
          <w:bCs/>
        </w:rPr>
      </w:pPr>
      <w:r w:rsidRPr="000A3920">
        <w:rPr>
          <w:b/>
          <w:bCs/>
        </w:rPr>
        <w:t>The reviewing process</w:t>
      </w:r>
    </w:p>
    <w:p w:rsidR="000175E0" w:rsidRDefault="000175E0" w:rsidP="000175E0">
      <w:pPr>
        <w:pStyle w:val="Guidelines"/>
      </w:pPr>
    </w:p>
    <w:p w:rsidR="000175E0" w:rsidRDefault="000175E0" w:rsidP="000175E0">
      <w:pPr>
        <w:pStyle w:val="Guidelines"/>
      </w:pPr>
      <w:r>
        <w:t>Each paper submitted is initially reviewed for general suitability for publication. All submissions will be read by at least two members of the journal’s editorial board.</w:t>
      </w:r>
    </w:p>
    <w:p w:rsidR="000175E0" w:rsidRDefault="000175E0" w:rsidP="000175E0">
      <w:pPr>
        <w:pStyle w:val="Guidelines"/>
      </w:pPr>
    </w:p>
    <w:p w:rsidR="000175E0" w:rsidRPr="000A3920" w:rsidRDefault="000175E0" w:rsidP="000175E0">
      <w:pPr>
        <w:pStyle w:val="Guidelines"/>
        <w:rPr>
          <w:b/>
          <w:bCs/>
        </w:rPr>
      </w:pPr>
      <w:r w:rsidRPr="000A3920">
        <w:rPr>
          <w:b/>
          <w:bCs/>
        </w:rPr>
        <w:t>Manuscript requirements</w:t>
      </w:r>
    </w:p>
    <w:p w:rsidR="000175E0" w:rsidRDefault="000175E0" w:rsidP="000175E0">
      <w:pPr>
        <w:pStyle w:val="Guidelines"/>
      </w:pPr>
    </w:p>
    <w:p w:rsidR="000175E0" w:rsidRDefault="000175E0" w:rsidP="000175E0">
      <w:pPr>
        <w:pStyle w:val="Guidelines"/>
      </w:pPr>
      <w:r>
        <w:t>The manuscript should be in MS WORD format, in 1.5 line spacing and 12 point Times New Roman. Good electronic copies of all figures and tables should also be provided. All manuscripts should be run through an American English spell check prior to submission.</w:t>
      </w:r>
    </w:p>
    <w:p w:rsidR="000175E0" w:rsidRDefault="000175E0" w:rsidP="000175E0">
      <w:pPr>
        <w:pStyle w:val="Guidelines"/>
      </w:pPr>
    </w:p>
    <w:p w:rsidR="000175E0" w:rsidRDefault="000175E0" w:rsidP="00300041">
      <w:pPr>
        <w:pStyle w:val="Guidelines"/>
      </w:pPr>
      <w:r>
        <w:t>As a guide, w</w:t>
      </w:r>
      <w:r w:rsidRPr="000A3920">
        <w:t xml:space="preserve">e ask that </w:t>
      </w:r>
      <w:r w:rsidR="00300041" w:rsidRPr="00300041">
        <w:rPr>
          <w:b/>
          <w:bCs/>
        </w:rPr>
        <w:t>R</w:t>
      </w:r>
      <w:r w:rsidRPr="00300041">
        <w:rPr>
          <w:b/>
          <w:bCs/>
        </w:rPr>
        <w:t xml:space="preserve">egular </w:t>
      </w:r>
      <w:r w:rsidR="00300041" w:rsidRPr="00300041">
        <w:rPr>
          <w:b/>
          <w:bCs/>
        </w:rPr>
        <w:t>E</w:t>
      </w:r>
      <w:r w:rsidRPr="00300041">
        <w:rPr>
          <w:b/>
          <w:bCs/>
        </w:rPr>
        <w:t>ssays</w:t>
      </w:r>
      <w:r>
        <w:t xml:space="preserve"> </w:t>
      </w:r>
      <w:r w:rsidR="00300041">
        <w:t xml:space="preserve">are </w:t>
      </w:r>
      <w:r>
        <w:t>between 2000-8</w:t>
      </w:r>
      <w:r w:rsidRPr="000A3920">
        <w:t>0</w:t>
      </w:r>
      <w:r>
        <w:t xml:space="preserve">00 words, and have limited endnotes. In exceptional circumstances JCAS will consider publishing </w:t>
      </w:r>
      <w:r w:rsidRPr="00EB6995">
        <w:rPr>
          <w:u w:val="single"/>
        </w:rPr>
        <w:t>extended</w:t>
      </w:r>
      <w:r>
        <w:t xml:space="preserve"> essays (up to 15,000 words). Authors should supply a brief </w:t>
      </w:r>
      <w:r w:rsidRPr="0048686E">
        <w:rPr>
          <w:b/>
          <w:bCs/>
        </w:rPr>
        <w:t xml:space="preserve">abstract </w:t>
      </w:r>
      <w:r w:rsidR="00300041">
        <w:t>of the paper (of no more than 20</w:t>
      </w:r>
      <w:r>
        <w:t>0 words).</w:t>
      </w:r>
      <w:r w:rsidRPr="00300041">
        <w:rPr>
          <w:b/>
          <w:bCs/>
        </w:rPr>
        <w:t xml:space="preserve"> </w:t>
      </w:r>
      <w:r w:rsidR="00300041" w:rsidRPr="00300041">
        <w:rPr>
          <w:b/>
          <w:bCs/>
        </w:rPr>
        <w:t>Book Reviews</w:t>
      </w:r>
      <w:r w:rsidR="00300041">
        <w:t xml:space="preserve"> are normally between 2000-3000 words long.</w:t>
      </w:r>
    </w:p>
    <w:p w:rsidR="000175E0" w:rsidRDefault="000175E0" w:rsidP="000175E0">
      <w:pPr>
        <w:pStyle w:val="Guidelines"/>
      </w:pPr>
    </w:p>
    <w:p w:rsidR="000175E0" w:rsidRDefault="000175E0" w:rsidP="000175E0">
      <w:pPr>
        <w:pStyle w:val="Guidelines"/>
      </w:pPr>
      <w:r>
        <w:t xml:space="preserve">A brief </w:t>
      </w:r>
      <w:r w:rsidRPr="0048686E">
        <w:rPr>
          <w:b/>
          <w:bCs/>
        </w:rPr>
        <w:t>autobiographical</w:t>
      </w:r>
      <w:r>
        <w:t xml:space="preserve"> note should be supplied which includes full names, affiliation, e-mail address, and full contact details.</w:t>
      </w:r>
    </w:p>
    <w:p w:rsidR="000175E0" w:rsidRDefault="000175E0" w:rsidP="000175E0">
      <w:pPr>
        <w:pStyle w:val="Guidelines"/>
      </w:pPr>
    </w:p>
    <w:p w:rsidR="000175E0" w:rsidRDefault="000175E0" w:rsidP="000175E0">
      <w:pPr>
        <w:pStyle w:val="Guidelines"/>
      </w:pPr>
    </w:p>
    <w:p w:rsidR="000175E0" w:rsidRDefault="000175E0" w:rsidP="000175E0">
      <w:pPr>
        <w:pStyle w:val="Guidelines"/>
      </w:pPr>
      <w:r w:rsidRPr="0048686E">
        <w:rPr>
          <w:b/>
          <w:bCs/>
        </w:rPr>
        <w:t>Reference</w:t>
      </w:r>
      <w:r w:rsidRPr="00300041">
        <w:rPr>
          <w:b/>
          <w:bCs/>
        </w:rPr>
        <w:t xml:space="preserve">s </w:t>
      </w:r>
      <w:r>
        <w:t xml:space="preserve">to other publications must be in Harvard style and </w:t>
      </w:r>
      <w:r w:rsidR="00D8785A">
        <w:t xml:space="preserve">be </w:t>
      </w:r>
      <w:r>
        <w:t>carefully checked for completeness, accuracy and consistency.</w:t>
      </w:r>
    </w:p>
    <w:p w:rsidR="000175E0" w:rsidRDefault="000175E0" w:rsidP="000175E0">
      <w:pPr>
        <w:pStyle w:val="Guidelines"/>
      </w:pPr>
    </w:p>
    <w:p w:rsidR="000175E0" w:rsidRDefault="000175E0" w:rsidP="000175E0">
      <w:pPr>
        <w:pStyle w:val="Guidelines"/>
      </w:pPr>
      <w:r>
        <w:t xml:space="preserve">You should cite publications in the text: using the first named author’s name </w:t>
      </w:r>
      <w:r w:rsidR="00D8785A">
        <w:t xml:space="preserve">(Best, 2006) or </w:t>
      </w:r>
      <w:r>
        <w:t xml:space="preserve"> citing both names of two</w:t>
      </w:r>
      <w:r w:rsidR="00D8785A">
        <w:t xml:space="preserve"> (Best and Nocella, 2006) or </w:t>
      </w:r>
      <w:r>
        <w:t>when there are three or more authors</w:t>
      </w:r>
      <w:r w:rsidR="00D8785A" w:rsidRPr="00D8785A">
        <w:t xml:space="preserve"> </w:t>
      </w:r>
      <w:r w:rsidR="007B5FEE">
        <w:t>(Best et al., 2006)</w:t>
      </w:r>
      <w:r>
        <w:t xml:space="preserve">. At the end of the paper a reference list in alphabetical order should be supplied: </w:t>
      </w:r>
    </w:p>
    <w:p w:rsidR="000175E0" w:rsidRDefault="000175E0" w:rsidP="000175E0">
      <w:pPr>
        <w:pStyle w:val="Guidelines"/>
      </w:pPr>
    </w:p>
    <w:p w:rsidR="000175E0" w:rsidRDefault="000175E0" w:rsidP="000175E0">
      <w:pPr>
        <w:pStyle w:val="Guidelines"/>
      </w:pPr>
      <w:r w:rsidRPr="0048686E">
        <w:rPr>
          <w:i/>
          <w:iCs/>
        </w:rPr>
        <w:t>For books</w:t>
      </w:r>
      <w:r>
        <w:t>: Surname, Initials (year), Title of Book, Publisher, Place of publication. e.g. Gray, J. (2002), Straw Dogs, Granta Books: London</w:t>
      </w:r>
    </w:p>
    <w:p w:rsidR="000175E0" w:rsidRDefault="000175E0" w:rsidP="000175E0">
      <w:pPr>
        <w:pStyle w:val="Guidelines"/>
      </w:pPr>
    </w:p>
    <w:p w:rsidR="000175E0" w:rsidRDefault="000175E0" w:rsidP="000175E0">
      <w:pPr>
        <w:pStyle w:val="Guidelines"/>
      </w:pPr>
      <w:r w:rsidRPr="0048686E">
        <w:rPr>
          <w:i/>
          <w:iCs/>
        </w:rPr>
        <w:t>For book chapters</w:t>
      </w:r>
      <w:r>
        <w:t>: Surname, Initials (year), "Chapter title", Editor's Surname, Initials (Ed.), Title of Book, Publisher, Place of publication, pages. E.g. Greenbrier, T. (2006) “Against Civilization, For Reconnection to Life!”, in Best, S. and Nocella, A.J. (Eds) Igniting a Revolution: Voices in Defense of the Earth, AK Press, Oakland, pp. 198-203.</w:t>
      </w:r>
    </w:p>
    <w:p w:rsidR="000175E0" w:rsidRDefault="000175E0" w:rsidP="000175E0">
      <w:pPr>
        <w:pStyle w:val="Guidelines"/>
      </w:pPr>
    </w:p>
    <w:p w:rsidR="000175E0" w:rsidRDefault="000175E0" w:rsidP="000175E0">
      <w:pPr>
        <w:pStyle w:val="Guidelines"/>
      </w:pPr>
      <w:r w:rsidRPr="002601BA">
        <w:rPr>
          <w:i/>
          <w:iCs/>
        </w:rPr>
        <w:t>For journals</w:t>
      </w:r>
      <w:r>
        <w:t>: Surname, Initials (year), "Title of article", Journal Name, volume, number, pages. e.g. Cudworth, E. (2008), “’Most Farmers Prefer Blondes’: The dynamics of anthroparchy in Animas’ becoming meat”, Journal for Critical Animal Studies, pp. 32-45.</w:t>
      </w:r>
    </w:p>
    <w:p w:rsidR="000175E0" w:rsidRDefault="000175E0" w:rsidP="000175E0">
      <w:pPr>
        <w:pStyle w:val="Guidelines"/>
      </w:pPr>
    </w:p>
    <w:p w:rsidR="000175E0" w:rsidRDefault="000175E0" w:rsidP="000175E0">
      <w:pPr>
        <w:pStyle w:val="Guidelines"/>
      </w:pPr>
      <w:r w:rsidRPr="002601BA">
        <w:rPr>
          <w:i/>
          <w:iCs/>
        </w:rPr>
        <w:t>For published conference proceedings</w:t>
      </w:r>
      <w:r>
        <w:t>: Surname, Initials (year of publication), "Title of paper", in Surname, Initials (Ed.), Title of published proceeding which may include place and date(s) held, Publisher, Place of publication, Page numbers.</w:t>
      </w:r>
    </w:p>
    <w:p w:rsidR="000175E0" w:rsidRDefault="000175E0" w:rsidP="000175E0">
      <w:pPr>
        <w:pStyle w:val="Guidelines"/>
      </w:pPr>
    </w:p>
    <w:p w:rsidR="000175E0" w:rsidRDefault="000175E0" w:rsidP="000175E0">
      <w:pPr>
        <w:pStyle w:val="Guidelines"/>
      </w:pPr>
      <w:r w:rsidRPr="002601BA">
        <w:rPr>
          <w:i/>
          <w:iCs/>
        </w:rPr>
        <w:t>For unpublished conference proceeding</w:t>
      </w:r>
      <w:r>
        <w:t>s: Surname, Initials (year), "Title of paper", paper presented at Name of Conference, date of conference, place of conference, available at: URL if freely available on the internet (accessed date).</w:t>
      </w:r>
    </w:p>
    <w:p w:rsidR="000175E0" w:rsidRDefault="000175E0" w:rsidP="000175E0">
      <w:pPr>
        <w:pStyle w:val="Guidelines"/>
      </w:pPr>
    </w:p>
    <w:p w:rsidR="000175E0" w:rsidRDefault="000175E0" w:rsidP="000175E0">
      <w:pPr>
        <w:pStyle w:val="Guidelines"/>
      </w:pPr>
      <w:r w:rsidRPr="002601BA">
        <w:rPr>
          <w:i/>
          <w:iCs/>
        </w:rPr>
        <w:t>For working papers</w:t>
      </w:r>
      <w:r>
        <w:t>: Surname, Initials (year), "Title of article", working paper [number if available], Institution or organization, Place of organization, date.</w:t>
      </w:r>
    </w:p>
    <w:p w:rsidR="000175E0" w:rsidRDefault="000175E0" w:rsidP="000175E0">
      <w:pPr>
        <w:pStyle w:val="Guidelines"/>
      </w:pPr>
    </w:p>
    <w:p w:rsidR="000175E0" w:rsidRDefault="000175E0" w:rsidP="000175E0">
      <w:pPr>
        <w:pStyle w:val="Guidelines"/>
      </w:pPr>
      <w:r w:rsidRPr="002601BA">
        <w:rPr>
          <w:i/>
          <w:iCs/>
        </w:rPr>
        <w:t>For encyclopedia entries</w:t>
      </w:r>
      <w:r>
        <w:t xml:space="preserve"> (with no author or editor): Title of Encyclopedia (year) "Title of entry", volume, edition, Title of Encyclopedia, Publisher, Place of publication, pages.</w:t>
      </w:r>
    </w:p>
    <w:p w:rsidR="000175E0" w:rsidRDefault="000175E0" w:rsidP="000175E0">
      <w:pPr>
        <w:pStyle w:val="Guidelines"/>
      </w:pPr>
    </w:p>
    <w:p w:rsidR="000175E0" w:rsidRDefault="000175E0" w:rsidP="000175E0">
      <w:pPr>
        <w:pStyle w:val="Guidelines"/>
      </w:pPr>
      <w:r w:rsidRPr="002601BA">
        <w:rPr>
          <w:i/>
          <w:iCs/>
        </w:rPr>
        <w:t>For newspaper articles</w:t>
      </w:r>
      <w:r>
        <w:t xml:space="preserve"> (authored): Surname, Initials (year), "Article title", Newspaper, date, pages.</w:t>
      </w:r>
    </w:p>
    <w:p w:rsidR="000175E0" w:rsidRDefault="000175E0" w:rsidP="000175E0">
      <w:pPr>
        <w:pStyle w:val="Guidelines"/>
      </w:pPr>
    </w:p>
    <w:p w:rsidR="000175E0" w:rsidRDefault="000175E0" w:rsidP="000175E0">
      <w:pPr>
        <w:pStyle w:val="Guidelines"/>
      </w:pPr>
      <w:r w:rsidRPr="002601BA">
        <w:rPr>
          <w:i/>
          <w:iCs/>
        </w:rPr>
        <w:t xml:space="preserve">For newspaper articles </w:t>
      </w:r>
      <w:r>
        <w:t>(non-authored): Newspaper (year), "Article title", date, pages.</w:t>
      </w:r>
    </w:p>
    <w:p w:rsidR="000175E0" w:rsidRDefault="000175E0" w:rsidP="000175E0">
      <w:pPr>
        <w:pStyle w:val="Guidelines"/>
      </w:pPr>
    </w:p>
    <w:p w:rsidR="000175E0" w:rsidRDefault="000175E0" w:rsidP="000175E0">
      <w:pPr>
        <w:pStyle w:val="Guidelines"/>
      </w:pPr>
      <w:r w:rsidRPr="002601BA">
        <w:rPr>
          <w:i/>
          <w:iCs/>
        </w:rPr>
        <w:t>For electronic sources</w:t>
      </w:r>
      <w:r>
        <w:t>: if available online the full URL should be supplied at the end of the reference, as well as a date that the resource was accessed.</w:t>
      </w:r>
    </w:p>
    <w:p w:rsidR="000175E0" w:rsidRDefault="000175E0" w:rsidP="000175E0">
      <w:pPr>
        <w:pStyle w:val="Guidelines"/>
        <w:rPr>
          <w:b/>
          <w:bCs/>
        </w:rPr>
      </w:pPr>
    </w:p>
    <w:p w:rsidR="000175E0" w:rsidRPr="006F144A" w:rsidRDefault="000175E0" w:rsidP="000175E0">
      <w:pPr>
        <w:pStyle w:val="Guidelines"/>
        <w:rPr>
          <w:b/>
          <w:bCs/>
        </w:rPr>
      </w:pPr>
      <w:r w:rsidRPr="006F144A">
        <w:rPr>
          <w:b/>
          <w:bCs/>
        </w:rPr>
        <w:t>Copyright</w:t>
      </w:r>
    </w:p>
    <w:p w:rsidR="000175E0" w:rsidRDefault="000175E0" w:rsidP="000175E0">
      <w:pPr>
        <w:pStyle w:val="Guidelines"/>
      </w:pPr>
    </w:p>
    <w:p w:rsidR="000175E0" w:rsidRDefault="000175E0" w:rsidP="000175E0">
      <w:pPr>
        <w:pStyle w:val="Guidelines"/>
      </w:pPr>
      <w: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0175E0" w:rsidSect="000175E0">
      <w:footnotePr>
        <w:numRestart w:val="eachSect"/>
      </w:footnotePr>
      <w:pgSz w:w="11907" w:h="16839" w:code="9"/>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E9" w:rsidRDefault="007349E9" w:rsidP="000175E0">
      <w:pPr>
        <w:spacing w:line="240" w:lineRule="auto"/>
      </w:pPr>
      <w:r>
        <w:separator/>
      </w:r>
    </w:p>
    <w:p w:rsidR="007349E9" w:rsidRDefault="007349E9"/>
  </w:endnote>
  <w:endnote w:type="continuationSeparator" w:id="0">
    <w:p w:rsidR="007349E9" w:rsidRDefault="007349E9" w:rsidP="000175E0">
      <w:pPr>
        <w:spacing w:line="240" w:lineRule="auto"/>
      </w:pPr>
      <w:r>
        <w:continuationSeparator/>
      </w:r>
    </w:p>
    <w:p w:rsidR="007349E9" w:rsidRDefault="007349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utch801BT-Roman">
    <w:altName w:val="Comic Sans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Garamond-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ItalicM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Pr="00B444D9" w:rsidRDefault="00C5539D">
    <w:pPr>
      <w:pStyle w:val="Footer"/>
      <w:jc w:val="center"/>
      <w:rPr>
        <w:sz w:val="20"/>
      </w:rPr>
    </w:pPr>
    <w:r w:rsidRPr="00B444D9">
      <w:rPr>
        <w:sz w:val="20"/>
      </w:rPr>
      <w:fldChar w:fldCharType="begin"/>
    </w:r>
    <w:r w:rsidRPr="00B444D9">
      <w:rPr>
        <w:sz w:val="20"/>
      </w:rPr>
      <w:instrText xml:space="preserve"> PAGE   \* MERGEFORMAT </w:instrText>
    </w:r>
    <w:r w:rsidRPr="00B444D9">
      <w:rPr>
        <w:sz w:val="20"/>
      </w:rPr>
      <w:fldChar w:fldCharType="separate"/>
    </w:r>
    <w:r w:rsidR="00BC788C">
      <w:rPr>
        <w:noProof/>
        <w:sz w:val="20"/>
      </w:rPr>
      <w:t>3</w:t>
    </w:r>
    <w:r w:rsidRPr="00B444D9">
      <w:rPr>
        <w:sz w:val="20"/>
      </w:rPr>
      <w:fldChar w:fldCharType="end"/>
    </w:r>
  </w:p>
  <w:p w:rsidR="00C5539D" w:rsidRDefault="00C55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Pr="001D0451" w:rsidRDefault="00C5539D">
    <w:pPr>
      <w:pStyle w:val="Footer"/>
      <w:jc w:val="center"/>
      <w:rPr>
        <w:sz w:val="20"/>
      </w:rPr>
    </w:pPr>
    <w:r w:rsidRPr="001D0451">
      <w:rPr>
        <w:sz w:val="20"/>
      </w:rPr>
      <w:fldChar w:fldCharType="begin"/>
    </w:r>
    <w:r w:rsidRPr="001D0451">
      <w:rPr>
        <w:sz w:val="20"/>
      </w:rPr>
      <w:instrText xml:space="preserve"> PAGE   \* MERGEFORMAT </w:instrText>
    </w:r>
    <w:r w:rsidRPr="001D0451">
      <w:rPr>
        <w:sz w:val="20"/>
      </w:rPr>
      <w:fldChar w:fldCharType="separate"/>
    </w:r>
    <w:r w:rsidR="00833236">
      <w:rPr>
        <w:noProof/>
        <w:sz w:val="20"/>
      </w:rPr>
      <w:t>215</w:t>
    </w:r>
    <w:r w:rsidRPr="001D0451">
      <w:rPr>
        <w:sz w:val="20"/>
      </w:rPr>
      <w:fldChar w:fldCharType="end"/>
    </w:r>
  </w:p>
  <w:p w:rsidR="00C5539D" w:rsidRDefault="00C55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E9" w:rsidRDefault="007349E9" w:rsidP="000175E0">
      <w:pPr>
        <w:spacing w:line="240" w:lineRule="auto"/>
      </w:pPr>
      <w:r>
        <w:separator/>
      </w:r>
    </w:p>
    <w:p w:rsidR="007349E9" w:rsidRDefault="007349E9"/>
  </w:footnote>
  <w:footnote w:type="continuationSeparator" w:id="0">
    <w:p w:rsidR="007349E9" w:rsidRDefault="007349E9" w:rsidP="000175E0">
      <w:pPr>
        <w:spacing w:line="240" w:lineRule="auto"/>
      </w:pPr>
      <w:r>
        <w:continuationSeparator/>
      </w:r>
    </w:p>
    <w:p w:rsidR="007349E9" w:rsidRDefault="007349E9"/>
  </w:footnote>
  <w:footnote w:id="1">
    <w:p w:rsidR="00C5539D" w:rsidRPr="00B444D9" w:rsidRDefault="00C5539D" w:rsidP="002D463E">
      <w:pPr>
        <w:pStyle w:val="FootnoteText"/>
        <w:rPr>
          <w:rStyle w:val="Footnote"/>
          <w:szCs w:val="18"/>
        </w:rPr>
      </w:pPr>
      <w:r w:rsidRPr="00001640">
        <w:rPr>
          <w:rStyle w:val="FootnoteReference"/>
        </w:rPr>
        <w:footnoteRef/>
      </w:r>
      <w:r w:rsidRPr="008C556A">
        <w:rPr>
          <w:rStyle w:val="Footnote"/>
        </w:rPr>
        <w:t xml:space="preserve"> </w:t>
      </w:r>
      <w:r w:rsidRPr="00B444D9">
        <w:rPr>
          <w:rStyle w:val="Footnote"/>
          <w:szCs w:val="18"/>
        </w:rPr>
        <w:t>Brett Buchanan is Assistant Professor in the Department of Philosophy at Laurentian University (Canada). His research interests include contemporary continental philosophy, environmental thought, and critical animal studies. His current projects include an investigation of the concepts of revolt, freedom, and violence in early environmental and existential thought, and animal ethology in continental philosophy. He is the author of Onto-Ethologies: The Animal Environments of Uexküll, Heidegger, Merleau-Ponty, and Deleuze (SUNY, 2008).</w:t>
      </w:r>
    </w:p>
    <w:p w:rsidR="00C5539D" w:rsidRPr="008C556A" w:rsidRDefault="00C5539D" w:rsidP="002D463E">
      <w:pPr>
        <w:pStyle w:val="FootnoteText"/>
        <w:rPr>
          <w:rStyle w:val="Footnote"/>
        </w:rPr>
      </w:pPr>
    </w:p>
  </w:footnote>
  <w:footnote w:id="2">
    <w:p w:rsidR="00C5539D" w:rsidRPr="008C556A" w:rsidRDefault="00C5539D" w:rsidP="002D463E">
      <w:pPr>
        <w:pStyle w:val="FootnoteText"/>
        <w:rPr>
          <w:rStyle w:val="Footnote"/>
        </w:rPr>
      </w:pPr>
      <w:r w:rsidRPr="008C556A">
        <w:rPr>
          <w:rStyle w:val="Footnote"/>
        </w:rPr>
        <w:footnoteRef/>
      </w:r>
      <w:r w:rsidRPr="008C556A">
        <w:rPr>
          <w:rStyle w:val="Footnote"/>
        </w:rPr>
        <w:t xml:space="preserve"> Pagination in this essay will hereafter refer to this book, unless otherwise noted. Bataille’s original book bore the title Lascaux ou la naissance de l’art. The English collection is a compilation of many essays and notes by Bataille on prehistoric art.</w:t>
      </w:r>
    </w:p>
  </w:footnote>
  <w:footnote w:id="3">
    <w:p w:rsidR="00C5539D" w:rsidRPr="00001640" w:rsidRDefault="00C5539D" w:rsidP="002D463E">
      <w:pPr>
        <w:pStyle w:val="FootnoteText"/>
      </w:pPr>
      <w:r w:rsidRPr="00001640">
        <w:rPr>
          <w:rStyle w:val="FootnoteReference"/>
        </w:rPr>
        <w:footnoteRef/>
      </w:r>
      <w:r w:rsidRPr="00001640">
        <w:t xml:space="preserve"> Most commentators on the Lascaux paintings have appropriately emphasized the aesthetic and artistic qualities of the images, but it is also the case that the animals, as a question within the debates over the origin of art, have received attention as well. For further readings on this, see in particular: Steven Ungar (1990: 246-262); Howard Caygill (2002: 19-25); Akira Mizuta Lippit (2002: 18-29); Suzanne Guerlac (1996: 6-17);Suzanne Guerlac (2007: 97).</w:t>
      </w:r>
    </w:p>
  </w:footnote>
  <w:footnote w:id="4">
    <w:p w:rsidR="00C5539D" w:rsidRDefault="00C5539D" w:rsidP="002D463E">
      <w:pPr>
        <w:pStyle w:val="FootnoteText"/>
        <w:rPr>
          <w:rStyle w:val="Footnote"/>
        </w:rPr>
      </w:pPr>
      <w:r w:rsidRPr="008C556A">
        <w:rPr>
          <w:rStyle w:val="Footnote"/>
        </w:rPr>
        <w:footnoteRef/>
      </w:r>
      <w:r w:rsidRPr="008C556A">
        <w:rPr>
          <w:rStyle w:val="Footnote"/>
        </w:rPr>
        <w:t xml:space="preserve"> I am influenced here by Suzanne Guerlac’s (1996) wonderful essay “Bataille in Theory: Afterimages (Lascaux)”. </w:t>
      </w:r>
    </w:p>
    <w:p w:rsidR="00C5539D" w:rsidRPr="008C556A" w:rsidRDefault="00C5539D" w:rsidP="002D463E">
      <w:pPr>
        <w:pStyle w:val="FootnoteText"/>
        <w:rPr>
          <w:rStyle w:val="Footnote"/>
        </w:rPr>
      </w:pPr>
      <w:r w:rsidRPr="008C556A">
        <w:rPr>
          <w:rStyle w:val="Footnote"/>
        </w:rPr>
        <w:t xml:space="preserve"> </w:t>
      </w:r>
    </w:p>
  </w:footnote>
  <w:footnote w:id="5">
    <w:p w:rsidR="00C5539D" w:rsidRPr="008C556A" w:rsidRDefault="00C5539D" w:rsidP="002D463E">
      <w:pPr>
        <w:pStyle w:val="FootnoteText"/>
        <w:rPr>
          <w:rStyle w:val="Footnote"/>
        </w:rPr>
      </w:pPr>
      <w:r w:rsidRPr="008C556A">
        <w:rPr>
          <w:rStyle w:val="Footnote"/>
        </w:rPr>
        <w:footnoteRef/>
      </w:r>
      <w:r w:rsidRPr="008C556A">
        <w:rPr>
          <w:rStyle w:val="Footnote"/>
        </w:rPr>
        <w:t xml:space="preserve"> “Sacrifice restores to the sacred world that which servile use has degraded, rendered profane. … It is not necessary that the sacrifice actually destroy the animal or plant of which man had to make a thing for his use. They must at least be destroyed as things, that is, insofar as they have become things. Destruction is the best means of negating a utilitarian relation between man and the animal or plant” (Bataille, 1991: 56). It is clear that the donkey was not ‘used’ as a sacrifice, though one could interpret that the donkey no longer served a function or use, and was sacrificed as such.</w:t>
      </w:r>
    </w:p>
  </w:footnote>
  <w:footnote w:id="6">
    <w:p w:rsidR="00C5539D" w:rsidRPr="008C556A" w:rsidRDefault="00C5539D" w:rsidP="002D463E">
      <w:pPr>
        <w:pStyle w:val="FootnoteText"/>
        <w:rPr>
          <w:rStyle w:val="Footnote"/>
        </w:rPr>
      </w:pPr>
      <w:r w:rsidRPr="008C556A">
        <w:rPr>
          <w:rStyle w:val="Footnote"/>
        </w:rPr>
        <w:footnoteRef/>
      </w:r>
      <w:r w:rsidRPr="008C556A">
        <w:rPr>
          <w:rStyle w:val="Footnote"/>
        </w:rPr>
        <w:t xml:space="preserve"> Benjamin continues: “Prehistoric art made use of certain fixed notations in the service of magical practice. In some cases, these notations probably comprised actual performing of magical acts…; in others, they gave instructions for such procedures….; and in still others, they provided objects for magical contemplation….The subjects for these notations were humans and their environment, which were depicted according to the requirements of a society whose technology existed only in fusion with ritual” (107).</w:t>
      </w:r>
    </w:p>
  </w:footnote>
  <w:footnote w:id="7">
    <w:p w:rsidR="00C5539D" w:rsidRPr="00001640" w:rsidRDefault="00C5539D" w:rsidP="002D463E">
      <w:pPr>
        <w:pStyle w:val="FootnoteText"/>
      </w:pPr>
      <w:r w:rsidRPr="00001640">
        <w:rPr>
          <w:rStyle w:val="FootnoteReference"/>
        </w:rPr>
        <w:footnoteRef/>
      </w:r>
      <w:r w:rsidRPr="00001640">
        <w:t xml:space="preserve"> Lippit, A. M. (2002), “Archetexts: Lascaux, Eros, and the Anamorphic Subject”, </w:t>
      </w:r>
      <w:r w:rsidRPr="00001640">
        <w:rPr>
          <w:i/>
        </w:rPr>
        <w:t>Discourse</w:t>
      </w:r>
      <w:r w:rsidRPr="00001640">
        <w:t xml:space="preserve"> 24, 2, p. 19.</w:t>
      </w:r>
    </w:p>
  </w:footnote>
  <w:footnote w:id="8">
    <w:p w:rsidR="00C5539D" w:rsidRPr="00001640" w:rsidRDefault="00C5539D" w:rsidP="002D463E">
      <w:pPr>
        <w:pStyle w:val="FootnoteText"/>
      </w:pPr>
      <w:r w:rsidRPr="00001640">
        <w:rPr>
          <w:rStyle w:val="FootnoteReference"/>
        </w:rPr>
        <w:footnoteRef/>
      </w:r>
      <w:r w:rsidRPr="00001640">
        <w:t xml:space="preserve"> Kant precedes this passage by stating that “the beautiful in nature is a question of the form of the object” (75)</w:t>
      </w:r>
    </w:p>
  </w:footnote>
  <w:footnote w:id="9">
    <w:p w:rsidR="00C5539D" w:rsidRDefault="00C5539D" w:rsidP="008C556A">
      <w:pPr>
        <w:spacing w:line="240" w:lineRule="auto"/>
        <w:rPr>
          <w:rStyle w:val="Footnote"/>
        </w:rPr>
      </w:pPr>
      <w:r w:rsidRPr="008C556A">
        <w:rPr>
          <w:rStyle w:val="Footnote"/>
        </w:rPr>
        <w:footnoteRef/>
      </w:r>
      <w:r w:rsidRPr="008C556A">
        <w:rPr>
          <w:rStyle w:val="Footnote"/>
        </w:rPr>
        <w:t xml:space="preserve"> Merleau-Ponty writes (1964b), in his essay “Eye and Mind”: “Light, lighting, shadows, reflections, color, all the objects of his quest are not altogether real objects; like ghosts, they have only visual existence” (166).</w:t>
      </w:r>
    </w:p>
    <w:p w:rsidR="00C5539D" w:rsidRPr="008C556A" w:rsidRDefault="00C5539D" w:rsidP="008C556A">
      <w:pPr>
        <w:spacing w:line="240" w:lineRule="auto"/>
        <w:rPr>
          <w:rStyle w:val="Footnote"/>
        </w:rPr>
      </w:pPr>
    </w:p>
  </w:footnote>
  <w:footnote w:id="10">
    <w:p w:rsidR="00C5539D" w:rsidRDefault="00C5539D" w:rsidP="008C556A">
      <w:pPr>
        <w:pStyle w:val="FootnoteText"/>
        <w:rPr>
          <w:rStyle w:val="Footnote"/>
        </w:rPr>
      </w:pPr>
      <w:r w:rsidRPr="008C556A">
        <w:rPr>
          <w:rStyle w:val="Footnote"/>
        </w:rPr>
        <w:footnoteRef/>
      </w:r>
      <w:r w:rsidRPr="008C556A">
        <w:rPr>
          <w:rStyle w:val="Footnote"/>
        </w:rPr>
        <w:t xml:space="preserve"> We might think of this as analogous to the biological theory that maintains—we now know incorrectly—that ontogeny recapitulates phylogeny. As analogy it holds a certain resonance within th</w:t>
      </w:r>
      <w:r>
        <w:rPr>
          <w:rStyle w:val="Footnote"/>
        </w:rPr>
        <w:t xml:space="preserve">e aesthetic domain. In bringing </w:t>
      </w:r>
      <w:r w:rsidRPr="008C556A">
        <w:rPr>
          <w:rStyle w:val="Footnote"/>
        </w:rPr>
        <w:t>to expression the “inarticulate cry,” the painter renders visible the prehuman world in a similar way that, if the analogy holds, the prehistoric prehumans graduated to humanity.</w:t>
      </w:r>
    </w:p>
    <w:p w:rsidR="00C5539D" w:rsidRPr="008C556A" w:rsidRDefault="00C5539D" w:rsidP="008C556A">
      <w:pPr>
        <w:pStyle w:val="FootnoteText"/>
        <w:rPr>
          <w:rStyle w:val="Footnote"/>
        </w:rPr>
      </w:pPr>
    </w:p>
  </w:footnote>
  <w:footnote w:id="11">
    <w:p w:rsidR="00C5539D" w:rsidRDefault="00C5539D" w:rsidP="002D463E">
      <w:pPr>
        <w:pStyle w:val="FootnoteText"/>
        <w:rPr>
          <w:rStyle w:val="Footnote"/>
        </w:rPr>
      </w:pPr>
      <w:r w:rsidRPr="008C556A">
        <w:rPr>
          <w:rStyle w:val="Footnote"/>
        </w:rPr>
        <w:footnoteRef/>
      </w:r>
      <w:r w:rsidRPr="008C556A">
        <w:rPr>
          <w:rStyle w:val="Footnote"/>
        </w:rPr>
        <w:t xml:space="preserve"> To push this analogy further, we might look to how this metamorphosis is enacted within the art of children, as written on by both Merleau-Ponty and Bataille. “Besides,” Bataille notes, “what are children if not animals becoming human” (1991: 65).</w:t>
      </w:r>
    </w:p>
    <w:p w:rsidR="00C5539D" w:rsidRPr="008C556A" w:rsidRDefault="00C5539D" w:rsidP="002D463E">
      <w:pPr>
        <w:pStyle w:val="FootnoteText"/>
        <w:rPr>
          <w:rStyle w:val="Footnote"/>
        </w:rPr>
      </w:pPr>
    </w:p>
  </w:footnote>
  <w:footnote w:id="12">
    <w:p w:rsidR="00C5539D" w:rsidRPr="00001640" w:rsidRDefault="00C5539D" w:rsidP="002D463E">
      <w:pPr>
        <w:pStyle w:val="FootnoteText"/>
      </w:pPr>
      <w:r w:rsidRPr="008C556A">
        <w:rPr>
          <w:rStyle w:val="Footnote"/>
        </w:rPr>
        <w:footnoteRef/>
      </w:r>
      <w:r w:rsidRPr="008C556A">
        <w:rPr>
          <w:rStyle w:val="Footnote"/>
        </w:rPr>
        <w:t xml:space="preserve"> This paper was originally delivered at the University of Alberta and DePaul University during the fall of 2010. I would like to thank Chlöe Taylor and Will McNeill for their generous invitations, and those in attendance for their warm and thoughtful feedback.</w:t>
      </w:r>
    </w:p>
  </w:footnote>
  <w:footnote w:id="13">
    <w:p w:rsidR="00C5539D" w:rsidRPr="008C556A" w:rsidRDefault="00C5539D" w:rsidP="008C556A">
      <w:pPr>
        <w:pStyle w:val="Footer"/>
        <w:rPr>
          <w:rStyle w:val="Footnote"/>
        </w:rPr>
      </w:pPr>
      <w:r w:rsidRPr="008C556A">
        <w:rPr>
          <w:rStyle w:val="Footnote"/>
        </w:rPr>
        <w:footnoteRef/>
      </w:r>
      <w:r w:rsidRPr="008C556A">
        <w:rPr>
          <w:rStyle w:val="Footnote"/>
        </w:rPr>
        <w:t xml:space="preserve"> Matthew Chrulew is a postdoctoral research fellow at the Centre for Research on Social Inclusion at Macquarie University, Sydney. He is writing Mammoth for Reaktion Books, and editing (with Dinesh Wadiwel) the volume Foucault and Animals. His essays have appeared in Humanimalia, The Bible and Critical Theory, Metamorphoses of the Zoo (ed. Ralph Acampora) and elsewhere. He is a member of the Extinction Studies Working Group. &lt;http://extinctionstudies.org/&gt; Contact: &lt;mchrulew@gmail.com&gt; </w:t>
      </w:r>
    </w:p>
    <w:p w:rsidR="00C5539D" w:rsidRPr="0060332B" w:rsidRDefault="00C5539D" w:rsidP="002D463E">
      <w:pPr>
        <w:pStyle w:val="FootnoteText"/>
      </w:pPr>
    </w:p>
  </w:footnote>
  <w:footnote w:id="14">
    <w:p w:rsidR="00C5539D" w:rsidRPr="009C250F" w:rsidRDefault="00C5539D" w:rsidP="009C250F">
      <w:pPr>
        <w:pStyle w:val="FootnoteText"/>
        <w:rPr>
          <w:rStyle w:val="Footnote"/>
        </w:rPr>
      </w:pPr>
      <w:r w:rsidRPr="009C250F">
        <w:rPr>
          <w:rStyle w:val="Footnote"/>
        </w:rPr>
        <w:footnoteRef/>
      </w:r>
      <w:r w:rsidRPr="009C250F">
        <w:rPr>
          <w:rStyle w:val="Footnote"/>
        </w:rPr>
        <w:t xml:space="preserve"> Hasana Sharp is Assistant Professor of Philosophy at McGill University (hasana.sharp@mcgill.ca). Hasana works on the history of political theory, early modern philosophy, Marxist and feminist theory.  She is very interested in posthumanist challenges to ethics and politics and their effects in philosophy of race, animal studies, and feminism.  Her first book Spinoza and the Politics of Renaturalization is forthcoming from University of Chicago Press (2011). It develops the consequences of Spinoza’s denial of human exceptionalism for contemporary politics.</w:t>
      </w:r>
    </w:p>
    <w:p w:rsidR="00C5539D" w:rsidRPr="009C250F" w:rsidRDefault="00C5539D">
      <w:pPr>
        <w:pStyle w:val="FootnoteText"/>
        <w:rPr>
          <w:rStyle w:val="Footnote"/>
        </w:rPr>
      </w:pPr>
    </w:p>
  </w:footnote>
  <w:footnote w:id="15">
    <w:p w:rsidR="00C5539D" w:rsidRDefault="00C5539D" w:rsidP="002D463E">
      <w:pPr>
        <w:pStyle w:val="FootnoteText"/>
        <w:rPr>
          <w:rStyle w:val="Footnote"/>
        </w:rPr>
      </w:pPr>
      <w:r w:rsidRPr="009C250F">
        <w:rPr>
          <w:rStyle w:val="Footnote"/>
        </w:rPr>
        <w:footnoteRef/>
      </w:r>
      <w:r w:rsidRPr="009C250F">
        <w:rPr>
          <w:rStyle w:val="Footnote"/>
        </w:rPr>
        <w:t xml:space="preserve"> See the Wikipedia entry on “animal rights,” which discusses Descartes at length. &lt;http://en.wikipedia.org/wiki/Animal_rights&gt; (accessed 3 February, 2011).</w:t>
      </w:r>
    </w:p>
    <w:p w:rsidR="00C5539D" w:rsidRPr="009C250F" w:rsidRDefault="00C5539D" w:rsidP="002D463E">
      <w:pPr>
        <w:pStyle w:val="FootnoteText"/>
        <w:rPr>
          <w:rStyle w:val="Footnote"/>
        </w:rPr>
      </w:pPr>
    </w:p>
  </w:footnote>
  <w:footnote w:id="16">
    <w:p w:rsidR="00C5539D" w:rsidRPr="009C250F" w:rsidRDefault="00C5539D" w:rsidP="002D463E">
      <w:pPr>
        <w:pStyle w:val="FootnoteText"/>
        <w:rPr>
          <w:rStyle w:val="Footnote"/>
        </w:rPr>
      </w:pPr>
      <w:r w:rsidRPr="009C250F">
        <w:rPr>
          <w:rStyle w:val="Footnote"/>
        </w:rPr>
        <w:footnoteRef/>
      </w:r>
      <w:r w:rsidRPr="009C250F">
        <w:rPr>
          <w:rStyle w:val="Footnote"/>
        </w:rPr>
        <w:t xml:space="preserve"> For a challenge to the view of Descartes as the father of moral indifference toward animals, see Cottingham (1978).</w:t>
      </w:r>
    </w:p>
  </w:footnote>
  <w:footnote w:id="17">
    <w:p w:rsidR="00C5539D" w:rsidRPr="00AB04D2" w:rsidRDefault="00C5539D" w:rsidP="002D463E">
      <w:pPr>
        <w:pStyle w:val="FootnoteText"/>
      </w:pPr>
      <w:r w:rsidRPr="00AB04D2">
        <w:rPr>
          <w:rStyle w:val="FootnoteReference"/>
        </w:rPr>
        <w:footnoteRef/>
      </w:r>
      <w:r w:rsidRPr="00AB04D2">
        <w:t xml:space="preserve"> All references to the </w:t>
      </w:r>
      <w:r w:rsidRPr="00AB04D2">
        <w:rPr>
          <w:i/>
        </w:rPr>
        <w:t>Ethics</w:t>
      </w:r>
      <w:r w:rsidRPr="00AB04D2">
        <w:t xml:space="preserve"> are to </w:t>
      </w:r>
      <w:r w:rsidRPr="00AB04D2">
        <w:rPr>
          <w:i/>
        </w:rPr>
        <w:t>The Collected Works of Spinoza,</w:t>
      </w:r>
      <w:r w:rsidRPr="00AB04D2">
        <w:t xml:space="preserve"> vol. I. ed. and trans. E.M. Curley (Princeton: Princeton University Press, 1985). I adopt the following abbreviations for the </w:t>
      </w:r>
      <w:r w:rsidRPr="00AB04D2">
        <w:rPr>
          <w:i/>
        </w:rPr>
        <w:t>Ethics</w:t>
      </w:r>
      <w:r w:rsidRPr="00AB04D2">
        <w:t>: Roman numerals refer to parts; ‘p’ denotes proposition; ‘c’ denotes corollary; ‘def’ denotes definition; ‘d’ denotes demonstration; ‘s’ denotes scholium (e.g., ‘</w:t>
      </w:r>
      <w:r w:rsidRPr="00AB04D2">
        <w:rPr>
          <w:i/>
        </w:rPr>
        <w:t>E</w:t>
      </w:r>
      <w:r w:rsidRPr="00AB04D2">
        <w:t xml:space="preserve"> IIp38c’ refers to </w:t>
      </w:r>
      <w:r w:rsidRPr="00AB04D2">
        <w:rPr>
          <w:i/>
        </w:rPr>
        <w:t>Ethics</w:t>
      </w:r>
      <w:r w:rsidRPr="00AB04D2">
        <w:t xml:space="preserve">, part II, proposition 38, corollary).  All quotations from the </w:t>
      </w:r>
      <w:r w:rsidRPr="00AB04D2">
        <w:rPr>
          <w:i/>
        </w:rPr>
        <w:t>Tractatus Theologico-Politicus</w:t>
      </w:r>
      <w:r w:rsidRPr="00AB04D2">
        <w:t xml:space="preserve"> [TTP] are taken from Jonathan Israel and Michael Silverthorne’s translation (</w:t>
      </w:r>
      <w:smartTag w:uri="urn:schemas-microsoft-com:office:smarttags" w:element="City">
        <w:r w:rsidRPr="00AB04D2">
          <w:t>Cambridge</w:t>
        </w:r>
      </w:smartTag>
      <w:r w:rsidRPr="00AB04D2">
        <w:t xml:space="preserve">: </w:t>
      </w:r>
      <w:smartTag w:uri="urn:schemas-microsoft-com:office:smarttags" w:element="place">
        <w:smartTag w:uri="urn:schemas-microsoft-com:office:smarttags" w:element="City">
          <w:r w:rsidRPr="00AB04D2">
            <w:t>Cambridge</w:t>
          </w:r>
        </w:smartTag>
      </w:smartTag>
      <w:r w:rsidRPr="00AB04D2">
        <w:t xml:space="preserve">, 2007). All references to the </w:t>
      </w:r>
      <w:r w:rsidRPr="00AB04D2">
        <w:rPr>
          <w:i/>
        </w:rPr>
        <w:t>Tractatus Politicus</w:t>
      </w:r>
      <w:r w:rsidRPr="00AB04D2">
        <w:t xml:space="preserve"> [TP] are to Shirley’s translation (</w:t>
      </w:r>
      <w:smartTag w:uri="urn:schemas-microsoft-com:office:smarttags" w:element="place">
        <w:smartTag w:uri="urn:schemas-microsoft-com:office:smarttags" w:element="City">
          <w:r w:rsidRPr="00AB04D2">
            <w:t>Indianapolis</w:t>
          </w:r>
        </w:smartTag>
      </w:smartTag>
      <w:r w:rsidRPr="00AB04D2">
        <w:t>: Hackett, 2000). Citations of the TP and TTP refer to the chapters.sections (e.g., ‘11.4’ refers to chapter 11, section 4). All Latin passages refer to Spinoza Opera, ed. Carl Gebhardt, 4 vols. (Heidelberg: Carl Winter, 1925).</w:t>
      </w:r>
    </w:p>
  </w:footnote>
  <w:footnote w:id="18">
    <w:p w:rsidR="00C5539D" w:rsidRPr="00AB04D2" w:rsidRDefault="00C5539D" w:rsidP="002D463E">
      <w:pPr>
        <w:pStyle w:val="FootnoteText"/>
        <w:rPr>
          <w:i/>
        </w:rPr>
      </w:pPr>
      <w:r w:rsidRPr="00AB04D2">
        <w:rPr>
          <w:rStyle w:val="FootnoteReference"/>
        </w:rPr>
        <w:footnoteRef/>
      </w:r>
      <w:r>
        <w:t xml:space="preserve"> </w:t>
      </w:r>
      <w:r w:rsidRPr="00AB04D2">
        <w:t>Harth (1992)</w:t>
      </w:r>
      <w:r w:rsidRPr="00AB04D2">
        <w:rPr>
          <w:i/>
        </w:rPr>
        <w:t>.</w:t>
      </w:r>
    </w:p>
  </w:footnote>
  <w:footnote w:id="19">
    <w:p w:rsidR="00C5539D" w:rsidRPr="00AB04D2" w:rsidRDefault="00C5539D" w:rsidP="002D463E">
      <w:pPr>
        <w:pStyle w:val="FootnoteText"/>
      </w:pPr>
      <w:r w:rsidRPr="00AB04D2">
        <w:rPr>
          <w:rStyle w:val="FootnoteReference"/>
        </w:rPr>
        <w:footnoteRef/>
      </w:r>
      <w:r w:rsidRPr="00AB04D2">
        <w:t xml:space="preserve"> This section and some of the conclusion borrow from the </w:t>
      </w:r>
      <w:r>
        <w:t>analysis in my book (Sharp, 2011:</w:t>
      </w:r>
      <w:r w:rsidRPr="00AB04D2">
        <w:t xml:space="preserve"> Ch. 6).</w:t>
      </w:r>
    </w:p>
  </w:footnote>
  <w:footnote w:id="20">
    <w:p w:rsidR="00C5539D" w:rsidRPr="009C250F" w:rsidRDefault="00C5539D" w:rsidP="002D463E">
      <w:pPr>
        <w:pStyle w:val="FootnoteText"/>
        <w:rPr>
          <w:rStyle w:val="Footnote"/>
        </w:rPr>
      </w:pPr>
      <w:r w:rsidRPr="009C250F">
        <w:rPr>
          <w:rStyle w:val="Footnote"/>
        </w:rPr>
        <w:footnoteRef/>
      </w:r>
      <w:r w:rsidRPr="009C250F">
        <w:rPr>
          <w:rStyle w:val="Footnote"/>
        </w:rPr>
        <w:t xml:space="preserve"> I am citing from the revised standard version, available online at &lt; http://www.bibleontheweb.com/&gt; (accessed 2 February, 2011).</w:t>
      </w:r>
    </w:p>
  </w:footnote>
  <w:footnote w:id="21">
    <w:p w:rsidR="00C5539D" w:rsidRPr="009C250F" w:rsidRDefault="00C5539D" w:rsidP="002D463E">
      <w:pPr>
        <w:pStyle w:val="FootnoteText"/>
        <w:rPr>
          <w:rStyle w:val="Footnote"/>
        </w:rPr>
      </w:pPr>
      <w:r w:rsidRPr="009C250F">
        <w:rPr>
          <w:rStyle w:val="Footnote"/>
        </w:rPr>
        <w:footnoteRef/>
      </w:r>
      <w:r w:rsidRPr="009C250F">
        <w:rPr>
          <w:rStyle w:val="Footnote"/>
        </w:rPr>
        <w:t xml:space="preserve"> Spinoza is thus not a friend to “transhumanism,” a peculiar philosophical vision of technologically produced immortality.  See Wolfe 2009: xv.</w:t>
      </w:r>
    </w:p>
  </w:footnote>
  <w:footnote w:id="22">
    <w:p w:rsidR="00C5539D" w:rsidRPr="0064541B" w:rsidRDefault="00C5539D" w:rsidP="0064541B">
      <w:pPr>
        <w:spacing w:line="240" w:lineRule="auto"/>
        <w:rPr>
          <w:rStyle w:val="Footnote"/>
        </w:rPr>
      </w:pPr>
      <w:r w:rsidRPr="0064541B">
        <w:rPr>
          <w:rStyle w:val="Footnote"/>
        </w:rPr>
        <w:footnoteRef/>
      </w:r>
      <w:r w:rsidRPr="0064541B">
        <w:rPr>
          <w:rStyle w:val="Footnote"/>
        </w:rPr>
        <w:t xml:space="preserve"> Alain Beaulieu is professor of philosophy at Laurentian University (Canada). He has a Doctorat de 3e cycle in philosophy from the Université de Paris 8 with a thesis on Gilles Deleuze et la phénoménologie (Sils Maria/Vrin, 2nd ed. 2006). He has (co)edited the following works: Abécédaire de Martin Heidegger (Sils Maria/Vrin, 2008), Michel Foucault and Power Today (Lexington Books, 2006), Gilles Deleuze. Héritage philosophique (PUF, 2005), and Michel Foucault et le contrôle social (PU Laval, 2nd ed. 2008). Email: abeaulieu@laurentian.ca</w:t>
      </w:r>
    </w:p>
    <w:p w:rsidR="00C5539D" w:rsidRPr="0081148A" w:rsidRDefault="00C5539D" w:rsidP="002D463E">
      <w:pPr>
        <w:pStyle w:val="FootnoteText"/>
      </w:pPr>
    </w:p>
  </w:footnote>
  <w:footnote w:id="23">
    <w:p w:rsidR="00C5539D" w:rsidRPr="00F63083" w:rsidRDefault="00C5539D" w:rsidP="002D463E">
      <w:pPr>
        <w:pStyle w:val="FootnoteText"/>
        <w:rPr>
          <w:rStyle w:val="Footnote"/>
        </w:rPr>
      </w:pPr>
      <w:r w:rsidRPr="00F63083">
        <w:rPr>
          <w:rStyle w:val="Footnote"/>
          <w:rFonts w:eastAsia="MS Mincho"/>
        </w:rPr>
        <w:footnoteRef/>
      </w:r>
      <w:r w:rsidRPr="00F63083">
        <w:rPr>
          <w:rStyle w:val="Footnote"/>
        </w:rPr>
        <w:t xml:space="preserve"> Karen Houle is Associate Professor of Philosophy at the University of Guelph, in Canada. She would like to thank two JCAS anonymous reviewers for their comments on this article; the Non-Human Workshop (September 2010, Edmonton, Alberta, Canada); the Department of Philosophy at Trent University, Canada; Josh Mousie for research assistance; Adam Morton, Dan Harris, Casey Ford, Kelly Jones, Andrew Robinson, Suzanne McCullagh, Doug Halls and Tyler Barry for comments on earlier drafts.  </w:t>
      </w:r>
    </w:p>
  </w:footnote>
  <w:footnote w:id="24">
    <w:p w:rsidR="00C5539D" w:rsidRDefault="00C5539D" w:rsidP="002D463E">
      <w:pPr>
        <w:pStyle w:val="FootnoteText"/>
      </w:pPr>
      <w:r w:rsidRPr="00285629">
        <w:rPr>
          <w:rStyle w:val="FootnoteReference"/>
          <w:rFonts w:eastAsia="MS Mincho"/>
        </w:rPr>
        <w:footnoteRef/>
      </w:r>
      <w:r w:rsidRPr="00285629">
        <w:t xml:space="preserve"> For a further exploration of this tension in contemporary art on animality, see my (2010) “Infinite, Indifferent Kinship.”  </w:t>
      </w:r>
    </w:p>
    <w:p w:rsidR="00C5539D" w:rsidRPr="00285629" w:rsidRDefault="00C5539D" w:rsidP="002D463E">
      <w:pPr>
        <w:pStyle w:val="FootnoteText"/>
      </w:pPr>
    </w:p>
  </w:footnote>
  <w:footnote w:id="25">
    <w:p w:rsidR="00C5539D" w:rsidRPr="00C408F2" w:rsidRDefault="00C5539D" w:rsidP="002D463E">
      <w:pPr>
        <w:pStyle w:val="FootnoteText"/>
      </w:pPr>
      <w:r>
        <w:rPr>
          <w:rStyle w:val="FootnoteReference"/>
          <w:rFonts w:eastAsia="MS Mincho"/>
        </w:rPr>
        <w:footnoteRef/>
      </w:r>
      <w:r>
        <w:t xml:space="preserve"> See also Matthew Chrul</w:t>
      </w:r>
      <w:r w:rsidRPr="00BC240D">
        <w:t>ew</w:t>
      </w:r>
      <w:r>
        <w:t>’s article</w:t>
      </w:r>
      <w:r w:rsidRPr="00BC240D">
        <w:t xml:space="preserve"> in this issue.</w:t>
      </w:r>
      <w:r>
        <w:rPr>
          <w:sz w:val="18"/>
          <w:szCs w:val="18"/>
        </w:rPr>
        <w:t xml:space="preserve"> </w:t>
      </w:r>
    </w:p>
  </w:footnote>
  <w:footnote w:id="26">
    <w:p w:rsidR="00C5539D" w:rsidRDefault="00C5539D" w:rsidP="002D463E">
      <w:pPr>
        <w:pStyle w:val="FootnoteText"/>
        <w:contextualSpacing/>
      </w:pPr>
      <w:r w:rsidRPr="00181977">
        <w:rPr>
          <w:rStyle w:val="FootnoteReference"/>
          <w:rFonts w:eastAsia="MS Mincho"/>
        </w:rPr>
        <w:footnoteRef/>
      </w:r>
      <w:r w:rsidRPr="00181977">
        <w:t xml:space="preserve"> I would like to thank my colleague, Doug Halls, for helping me to articulate this complex dynamic.</w:t>
      </w:r>
    </w:p>
    <w:p w:rsidR="00C5539D" w:rsidRPr="00181977" w:rsidRDefault="00C5539D" w:rsidP="002D463E">
      <w:pPr>
        <w:pStyle w:val="FootnoteText"/>
        <w:contextualSpacing/>
      </w:pPr>
    </w:p>
  </w:footnote>
  <w:footnote w:id="27">
    <w:p w:rsidR="00C5539D" w:rsidRPr="00F76251" w:rsidRDefault="00C5539D" w:rsidP="002D463E">
      <w:pPr>
        <w:pStyle w:val="FootnoteText"/>
        <w:contextualSpacing/>
      </w:pPr>
      <w:r w:rsidRPr="00181977">
        <w:rPr>
          <w:rStyle w:val="FootnoteReference"/>
          <w:rFonts w:eastAsia="MS Mincho"/>
        </w:rPr>
        <w:footnoteRef/>
      </w:r>
      <w:r w:rsidRPr="00181977">
        <w:t xml:space="preserve"> http://en.wikipedia.org/wiki/Stereotypy</w:t>
      </w:r>
    </w:p>
  </w:footnote>
  <w:footnote w:id="28">
    <w:p w:rsidR="00C5539D" w:rsidRPr="00B15D70" w:rsidRDefault="00C5539D" w:rsidP="002D463E">
      <w:pPr>
        <w:pStyle w:val="FootnoteText"/>
      </w:pPr>
      <w:r w:rsidRPr="00B15D70">
        <w:rPr>
          <w:rStyle w:val="FootnoteReference"/>
          <w:rFonts w:eastAsia="MS Mincho"/>
        </w:rPr>
        <w:footnoteRef/>
      </w:r>
      <w:r w:rsidRPr="00B15D70">
        <w:t xml:space="preserve"> One can see here that the major liberal trope of negative rights has been read into the dynamics of plant interaction.</w:t>
      </w:r>
    </w:p>
  </w:footnote>
  <w:footnote w:id="29">
    <w:p w:rsidR="00C5539D" w:rsidRPr="000220DD" w:rsidRDefault="00C5539D" w:rsidP="002D463E">
      <w:pPr>
        <w:pStyle w:val="FootnoteText"/>
        <w:rPr>
          <w:rStyle w:val="Footnote"/>
        </w:rPr>
      </w:pPr>
      <w:r w:rsidRPr="000220DD">
        <w:rPr>
          <w:rStyle w:val="Footnote"/>
          <w:rFonts w:eastAsia="MS Mincho"/>
        </w:rPr>
        <w:footnoteRef/>
      </w:r>
      <w:r w:rsidRPr="000220DD">
        <w:rPr>
          <w:rStyle w:val="Footnote"/>
        </w:rPr>
        <w:t xml:space="preserve"> Though in various parts of his oeuvre Aristotle has argued for one or the other, or a priority among these capacities, there is textual proof that overall, Aristotle characterizes nutrition, growth &amp; reproduction and decay as the three interrelated, non-sequential fundamental capacities of all living things as living things. These three functions are roughly in the service of the actualization of the states of Being, Becoming and Decay. Nutrition, or self-nourishment is necessary to “…maintain the being of what is fed, and that continues to be what it is so long as the process of nutrition continues.” (DA II C4, 416b 14-6); growth &amp; reproduction are the goals “toward which all things strive, that for the sake of which they do whatsoever their nature renders possible” (DA II C4 a 11); “…grows qua growing from something into something. Into what does it grow? Not into that from which it arose but into that which it tends” (PH II, C1, 193b 16-18). Just as critically, though an individual’s telos realized in reproduction that individual must also realize its identity in a larger biological and temporal context where all other individuals—not just their kin and progeny—do, and will, share in the drive to actualize themselves. Individuals’ nature includes the capacity to achieve their decay—their unbecoming—so as to make room for the accomplishment of the individual at the universal level, and the achievement of life in general. I thank Doug Halls for pointing out the note in GA and working with me on this point.     </w:t>
      </w:r>
    </w:p>
  </w:footnote>
  <w:footnote w:id="30">
    <w:p w:rsidR="00C5539D" w:rsidRPr="000220DD" w:rsidRDefault="00C5539D" w:rsidP="000220DD">
      <w:pPr>
        <w:spacing w:line="240" w:lineRule="auto"/>
        <w:rPr>
          <w:rStyle w:val="Footnote"/>
        </w:rPr>
      </w:pPr>
      <w:r>
        <w:rPr>
          <w:rStyle w:val="FootnoteReference"/>
          <w:rFonts w:eastAsia="Times New Roman" w:cs="Times New Roman"/>
          <w:lang w:val="en-US" w:eastAsia="en-US"/>
        </w:rPr>
        <w:footnoteRef/>
      </w:r>
      <w:r w:rsidRPr="000220DD">
        <w:rPr>
          <w:rStyle w:val="Footnote"/>
        </w:rPr>
        <w:t xml:space="preserve">Astrida Neimanis is a feminist writer and academic, whose work explores the vicissitudes of embodiment on an ecologically fraught and biotechnologized global landscape. Her most recent major project was entitled Bodies of Water--a phenomenology of transcorporeality from the perspective of every body's watery constitution. Astrida currently serves as Chair of the Editorial Board of PhaenEx: Journal of Existential and Phenomenological Theory and Culture (phaenex.uwindsor.ca) and is co-organizer of the Thinking with Water project (thinkingwithwater.net). From September 2011, she can be found at the Gender Institute of the London School of Economics (lse.ac.uk/genderInstitute). </w:t>
      </w:r>
    </w:p>
    <w:p w:rsidR="00C5539D" w:rsidRPr="0070162A" w:rsidRDefault="00C5539D" w:rsidP="000220DD">
      <w:pPr>
        <w:pStyle w:val="FootnoteText"/>
      </w:pPr>
    </w:p>
    <w:p w:rsidR="00C5539D" w:rsidRPr="000220DD" w:rsidRDefault="00C5539D">
      <w:pPr>
        <w:pStyle w:val="FootnoteText"/>
      </w:pPr>
    </w:p>
  </w:footnote>
  <w:footnote w:id="31">
    <w:p w:rsidR="00C5539D" w:rsidRDefault="00C5539D" w:rsidP="002D463E">
      <w:pPr>
        <w:pStyle w:val="PageNumber"/>
        <w:spacing w:line="240" w:lineRule="auto"/>
        <w:contextualSpacing/>
        <w:rPr>
          <w:sz w:val="20"/>
        </w:rPr>
      </w:pPr>
      <w:r w:rsidRPr="008D0335">
        <w:rPr>
          <w:rStyle w:val="FootnoteReference"/>
        </w:rPr>
        <w:footnoteRef/>
      </w:r>
      <w:r w:rsidRPr="008D0335">
        <w:rPr>
          <w:rStyle w:val="FootnoteReference"/>
        </w:rPr>
        <w:t xml:space="preserve"> </w:t>
      </w:r>
      <w:r w:rsidRPr="008D0335">
        <w:rPr>
          <w:sz w:val="20"/>
        </w:rPr>
        <w:t xml:space="preserve">Toadvine (2007) makes a strong argument against reading Merleau-Ponty as advocating human exceptionalism. </w:t>
      </w:r>
    </w:p>
    <w:p w:rsidR="00C5539D" w:rsidRPr="008D0335" w:rsidRDefault="00C5539D" w:rsidP="002D463E">
      <w:pPr>
        <w:pStyle w:val="PageNumber"/>
        <w:spacing w:line="240" w:lineRule="auto"/>
        <w:contextualSpacing/>
        <w:rPr>
          <w:sz w:val="20"/>
        </w:rPr>
      </w:pPr>
    </w:p>
  </w:footnote>
  <w:footnote w:id="32">
    <w:p w:rsidR="00C5539D" w:rsidRDefault="00C5539D" w:rsidP="002D463E">
      <w:pPr>
        <w:pStyle w:val="FootnoteText"/>
        <w:contextualSpacing/>
      </w:pPr>
      <w:r>
        <w:rPr>
          <w:rStyle w:val="FootnoteReference"/>
        </w:rPr>
        <w:footnoteRef/>
      </w:r>
      <w:r>
        <w:t xml:space="preserve"> </w:t>
      </w:r>
      <w:r w:rsidRPr="008D0335">
        <w:t>See Great Ape Project; D’Amato and Chopra (1991) and Cavalieri (2011).</w:t>
      </w:r>
      <w:r w:rsidRPr="006B2638">
        <w:rPr>
          <w:sz w:val="24"/>
          <w:szCs w:val="24"/>
        </w:rPr>
        <w:t xml:space="preserve">  </w:t>
      </w:r>
    </w:p>
  </w:footnote>
  <w:footnote w:id="33">
    <w:p w:rsidR="00C5539D" w:rsidRPr="008D0335" w:rsidRDefault="00C5539D" w:rsidP="002D463E">
      <w:pPr>
        <w:pStyle w:val="FootnoteText"/>
      </w:pPr>
      <w:r>
        <w:rPr>
          <w:rStyle w:val="FootnoteReference"/>
        </w:rPr>
        <w:footnoteRef/>
      </w:r>
      <w:r>
        <w:t xml:space="preserve"> See Zimmer (1998), Shubin (2008), and Lingis (2000).</w:t>
      </w:r>
    </w:p>
  </w:footnote>
  <w:footnote w:id="34">
    <w:p w:rsidR="00C5539D" w:rsidRPr="008D0335" w:rsidRDefault="00C5539D" w:rsidP="002D463E">
      <w:pPr>
        <w:pStyle w:val="FootnoteText"/>
        <w:contextualSpacing/>
      </w:pPr>
      <w:r w:rsidRPr="008D0335">
        <w:rPr>
          <w:rStyle w:val="FootnoteReference"/>
        </w:rPr>
        <w:footnoteRef/>
      </w:r>
      <w:r w:rsidRPr="008D0335">
        <w:t xml:space="preserve"> Deleuze (1996: 118)</w:t>
      </w:r>
      <w:r w:rsidRPr="008D0335">
        <w:rPr>
          <w:i/>
        </w:rPr>
        <w:t>.</w:t>
      </w:r>
      <w:r w:rsidRPr="008D0335">
        <w:t xml:space="preserve"> These are thresholds “beyond which it would entail the death of any well-constituted subject.” </w:t>
      </w:r>
      <w:r w:rsidRPr="008D0335">
        <w:rPr>
          <w:i/>
        </w:rPr>
        <w:t xml:space="preserve"> </w:t>
      </w:r>
    </w:p>
  </w:footnote>
  <w:footnote w:id="35">
    <w:p w:rsidR="00C5539D" w:rsidRDefault="00C5539D" w:rsidP="002D463E">
      <w:pPr>
        <w:pStyle w:val="FootnoteText"/>
      </w:pPr>
      <w:r>
        <w:rPr>
          <w:rStyle w:val="FootnoteReference"/>
        </w:rPr>
        <w:footnoteRef/>
      </w:r>
      <w:r>
        <w:t xml:space="preserve"> </w:t>
      </w:r>
      <w:r w:rsidRPr="008D0335">
        <w:t>The area has been protected from oil and gas development since the 1980s by moratoria by both the U.S. and Canada, although such moratoria are always precarious. The politics of oil engages in its own cycles of repetition…</w:t>
      </w:r>
    </w:p>
    <w:p w:rsidR="00C5539D" w:rsidRDefault="00C5539D" w:rsidP="002D463E">
      <w:pPr>
        <w:pStyle w:val="FootnoteText"/>
      </w:pPr>
    </w:p>
  </w:footnote>
  <w:footnote w:id="36">
    <w:p w:rsidR="00C5539D" w:rsidRPr="00453760" w:rsidRDefault="00C5539D" w:rsidP="002D463E">
      <w:pPr>
        <w:pStyle w:val="FootnoteText"/>
        <w:contextualSpacing/>
      </w:pPr>
      <w:r w:rsidRPr="00453760">
        <w:rPr>
          <w:rStyle w:val="FootnoteReference"/>
        </w:rPr>
        <w:footnoteRef/>
      </w:r>
      <w:r w:rsidRPr="00453760">
        <w:t xml:space="preserve"> See Auld (2005a) and (2005b).</w:t>
      </w:r>
    </w:p>
  </w:footnote>
  <w:footnote w:id="37">
    <w:p w:rsidR="00C5539D" w:rsidRDefault="00C5539D" w:rsidP="002D463E">
      <w:pPr>
        <w:pStyle w:val="FootnoteText"/>
        <w:contextualSpacing/>
      </w:pPr>
      <w:r w:rsidRPr="00453760">
        <w:rPr>
          <w:rStyle w:val="FootnoteReference"/>
        </w:rPr>
        <w:footnoteRef/>
      </w:r>
      <w:r w:rsidRPr="00453760">
        <w:t xml:space="preserve"> The rhetoric of this “objective journalism”—describing this particular fauna in entirely horror-genre oriented malevolent terms such as “menacing,” “fouling,” “threatening,” “icky” and “gross”—is worth a study unto itself.</w:t>
      </w:r>
    </w:p>
    <w:p w:rsidR="00C5539D" w:rsidRPr="006B2638" w:rsidRDefault="00C5539D" w:rsidP="002D463E">
      <w:pPr>
        <w:pStyle w:val="FootnoteText"/>
        <w:contextualSpacing/>
        <w:rPr>
          <w:sz w:val="24"/>
          <w:szCs w:val="24"/>
        </w:rPr>
      </w:pPr>
    </w:p>
  </w:footnote>
  <w:footnote w:id="38">
    <w:p w:rsidR="00C5539D" w:rsidRPr="00453760" w:rsidRDefault="00C5539D" w:rsidP="002D463E">
      <w:pPr>
        <w:pStyle w:val="FootnoteText"/>
      </w:pPr>
      <w:r w:rsidRPr="00453760">
        <w:rPr>
          <w:rStyle w:val="FootnoteReference"/>
        </w:rPr>
        <w:footnoteRef/>
      </w:r>
      <w:r w:rsidRPr="00453760">
        <w:t xml:space="preserve"> I am indebted to my lively and extended conversations with Mielle Chandler for this proposition. It was through the intersection of her thinking about gestationality, developmental systems and the more-than-human, with my interest in Deleuzian difference and repetition in rela</w:t>
      </w:r>
      <w:r>
        <w:t>tion to water and the more-than-</w:t>
      </w:r>
      <w:r w:rsidRPr="00453760">
        <w:t>human, that this idea that other animals might “repeat, but differently” in us and as us, arose. While I take responsibility for the ways I have developed this idea in this paper, the inspiration was a joint endeavour.</w:t>
      </w:r>
    </w:p>
  </w:footnote>
  <w:footnote w:id="39">
    <w:p w:rsidR="00C5539D" w:rsidRPr="009F3FD8" w:rsidRDefault="00C5539D" w:rsidP="002D463E">
      <w:pPr>
        <w:pStyle w:val="FootnoteText"/>
        <w:contextualSpacing/>
      </w:pPr>
      <w:r w:rsidRPr="009F3FD8">
        <w:rPr>
          <w:rStyle w:val="FootnoteReference"/>
        </w:rPr>
        <w:footnoteRef/>
      </w:r>
      <w:r w:rsidRPr="009F3FD8">
        <w:t xml:space="preserve"> Kelly Oliver (2007) provides a helpful explication of Merleau-Ponty’s concept of interanimality and his term “strange kinship” (between humans and other animals).</w:t>
      </w:r>
    </w:p>
  </w:footnote>
  <w:footnote w:id="40">
    <w:p w:rsidR="00C5539D" w:rsidRPr="006B2638" w:rsidRDefault="00C5539D" w:rsidP="002D463E">
      <w:pPr>
        <w:pStyle w:val="FootnoteText"/>
        <w:contextualSpacing/>
        <w:rPr>
          <w:sz w:val="24"/>
          <w:szCs w:val="24"/>
        </w:rPr>
      </w:pPr>
      <w:r w:rsidRPr="009F3FD8">
        <w:rPr>
          <w:rStyle w:val="FootnoteReference"/>
        </w:rPr>
        <w:footnoteRef/>
      </w:r>
      <w:r w:rsidRPr="009F3FD8">
        <w:t xml:space="preserve"> See Neimanis (2007) for further description of becoming-animal as a mode of being not unrelated to Merleau-Ponty’s idea of intercorporeity.</w:t>
      </w:r>
      <w:r w:rsidRPr="006B2638">
        <w:rPr>
          <w:sz w:val="24"/>
          <w:szCs w:val="24"/>
        </w:rPr>
        <w:t xml:space="preserve"> </w:t>
      </w:r>
    </w:p>
  </w:footnote>
  <w:footnote w:id="41">
    <w:p w:rsidR="00C5539D" w:rsidRPr="009F3FD8" w:rsidRDefault="00C5539D" w:rsidP="002D463E">
      <w:pPr>
        <w:pStyle w:val="FootnoteText"/>
        <w:contextualSpacing/>
      </w:pPr>
      <w:r w:rsidRPr="009F3FD8">
        <w:rPr>
          <w:rStyle w:val="FootnoteReference"/>
        </w:rPr>
        <w:footnoteRef/>
      </w:r>
      <w:r w:rsidRPr="009F3FD8">
        <w:t xml:space="preserve"> As Muecke</w:t>
      </w:r>
      <w:r>
        <w:t xml:space="preserve"> (2009)</w:t>
      </w:r>
      <w:r w:rsidRPr="009F3FD8">
        <w:t xml:space="preserve"> explains, “arguments and values do not come after the fact; they are there at the birth of facts, and of perception” (197).</w:t>
      </w:r>
    </w:p>
  </w:footnote>
  <w:footnote w:id="42">
    <w:p w:rsidR="00C5539D" w:rsidRDefault="00C5539D" w:rsidP="002D463E">
      <w:pPr>
        <w:pStyle w:val="FootnoteText"/>
        <w:contextualSpacing/>
        <w:rPr>
          <w:sz w:val="24"/>
          <w:szCs w:val="24"/>
        </w:rPr>
      </w:pPr>
      <w:r w:rsidRPr="009F3FD8">
        <w:rPr>
          <w:rStyle w:val="FootnoteReference"/>
        </w:rPr>
        <w:footnoteRef/>
      </w:r>
      <w:r w:rsidRPr="009F3FD8">
        <w:t xml:space="preserve"> As Muecke writes, one of the key ways in which cultural studies must change in order to take on the question of the more-than-human, is to agree to “No more critic as hero. The critic may find himself [sic] less able to denounce others’ positions based on access to a transcendental philosophy. This should come as an immense relief to all concerned!” (200).</w:t>
      </w:r>
      <w:r w:rsidRPr="006B2638">
        <w:rPr>
          <w:sz w:val="24"/>
          <w:szCs w:val="24"/>
        </w:rPr>
        <w:t xml:space="preserve"> </w:t>
      </w:r>
    </w:p>
    <w:p w:rsidR="00C5539D" w:rsidRPr="006B2638" w:rsidRDefault="00C5539D" w:rsidP="002D463E">
      <w:pPr>
        <w:pStyle w:val="FootnoteText"/>
        <w:contextualSpacing/>
        <w:rPr>
          <w:sz w:val="24"/>
          <w:szCs w:val="24"/>
        </w:rPr>
      </w:pPr>
    </w:p>
  </w:footnote>
  <w:footnote w:id="43">
    <w:p w:rsidR="00C5539D" w:rsidRDefault="00C5539D" w:rsidP="002D463E">
      <w:pPr>
        <w:pStyle w:val="FootnoteText"/>
      </w:pPr>
      <w:r>
        <w:rPr>
          <w:rStyle w:val="FootnoteReference"/>
        </w:rPr>
        <w:footnoteRef/>
      </w:r>
      <w:r>
        <w:t xml:space="preserve"> </w:t>
      </w:r>
      <w:r w:rsidRPr="0092062A">
        <w:t xml:space="preserve">In </w:t>
      </w:r>
      <w:r w:rsidRPr="0092062A">
        <w:rPr>
          <w:i/>
        </w:rPr>
        <w:t>Difference and Repetition</w:t>
      </w:r>
      <w:r w:rsidRPr="0092062A">
        <w:t xml:space="preserve">, Deleuze makes this allusion in reference to von Baer’s discovery that “an embryo does not reproduce ancestral adult forms belonging to other species, but rather experiences or undergoes states and undertakes movements which are not viable for the species but go beyond the limits of the species, genus, order or class, and can be sustained only by the embryo itself, under the conditions of embryonic life” (Deleuze 1994: 249). In </w:t>
      </w:r>
      <w:r w:rsidRPr="0092062A">
        <w:rPr>
          <w:i/>
        </w:rPr>
        <w:t>A Thousand Plateaus</w:t>
      </w:r>
      <w:r w:rsidRPr="0092062A">
        <w:t xml:space="preserve"> the reference is more direct (“You can never draw conclusions about phylogenesis on the basis of embryogenesis” (Deleuze and Guattari 1987: 47)).</w:t>
      </w:r>
    </w:p>
  </w:footnote>
  <w:footnote w:id="44">
    <w:p w:rsidR="00C5539D" w:rsidRPr="00B121AE" w:rsidRDefault="00C5539D" w:rsidP="002D463E">
      <w:pPr>
        <w:pStyle w:val="FootnoteText"/>
      </w:pPr>
      <w:r w:rsidRPr="00B121AE">
        <w:rPr>
          <w:rStyle w:val="FootnoteReference"/>
        </w:rPr>
        <w:footnoteRef/>
      </w:r>
      <w:r w:rsidRPr="00B121AE">
        <w:t xml:space="preserve">This is the French title of an interview with Derrida known in English as “Eating Well, or the Calculation of the Subject” (1995). In this interview, Derrida contends that whether or not we eat animals is not the ethical question, but rather: how do we eat them. </w:t>
      </w:r>
    </w:p>
  </w:footnote>
  <w:footnote w:id="45">
    <w:p w:rsidR="00C5539D" w:rsidRDefault="00C5539D" w:rsidP="002D463E">
      <w:pPr>
        <w:pStyle w:val="FootnoteText"/>
      </w:pPr>
      <w:r w:rsidRPr="00E33851">
        <w:rPr>
          <w:rStyle w:val="FootnoteReference"/>
        </w:rPr>
        <w:footnoteRef/>
      </w:r>
      <w:r w:rsidRPr="00E33851">
        <w:t xml:space="preserve"> See Elizabeth A. Wilson (2008) on organic communication. </w:t>
      </w:r>
    </w:p>
    <w:p w:rsidR="00C5539D" w:rsidRPr="00E33851" w:rsidRDefault="00C5539D" w:rsidP="002D463E">
      <w:pPr>
        <w:pStyle w:val="FootnoteText"/>
      </w:pPr>
    </w:p>
  </w:footnote>
  <w:footnote w:id="46">
    <w:p w:rsidR="00C5539D" w:rsidRPr="00DE766B" w:rsidRDefault="00C5539D" w:rsidP="002D463E">
      <w:pPr>
        <w:pStyle w:val="FootnoteText"/>
      </w:pPr>
      <w:r w:rsidRPr="00DE766B">
        <w:rPr>
          <w:rStyle w:val="FootnoteReference"/>
        </w:rPr>
        <w:footnoteRef/>
      </w:r>
      <w:r w:rsidRPr="00DE766B">
        <w:t xml:space="preserve"> See Chandler and Neimanis (forthcoming). </w:t>
      </w:r>
    </w:p>
  </w:footnote>
  <w:footnote w:id="47">
    <w:p w:rsidR="00C5539D" w:rsidRPr="006C4229" w:rsidRDefault="00C5539D" w:rsidP="002D463E">
      <w:pPr>
        <w:pStyle w:val="FootnoteText"/>
      </w:pPr>
      <w:r>
        <w:rPr>
          <w:rStyle w:val="FootnoteReference"/>
        </w:rPr>
        <w:footnoteRef/>
      </w:r>
      <w:r>
        <w:t xml:space="preserve"> See Chandler (2007).</w:t>
      </w:r>
    </w:p>
  </w:footnote>
  <w:footnote w:id="48">
    <w:p w:rsidR="00C5539D" w:rsidRDefault="00C5539D" w:rsidP="003A1AFF">
      <w:pPr>
        <w:spacing w:line="240" w:lineRule="auto"/>
        <w:rPr>
          <w:rStyle w:val="Footnote"/>
        </w:rPr>
      </w:pPr>
      <w:r w:rsidRPr="003A1AFF">
        <w:rPr>
          <w:rStyle w:val="Footnote"/>
        </w:rPr>
        <w:footnoteRef/>
      </w:r>
      <w:r w:rsidRPr="003A1AFF">
        <w:rPr>
          <w:rStyle w:val="Footnote"/>
        </w:rPr>
        <w:t xml:space="preserve"> Jennifer McWeeny is Associate Professor of Philosophy at John Carroll University where she regularly teaches courses in epistemology, Continental philosophy, feminist philosophy, early modern philosophy, and Asian and comparative philosophy.  She received her Ph.D. in Philosophy from the University of Oregon in 2005 and her M.A. in Philosophy from the University of Hawai’i at Manoa in 2000.  Her research interests are in the areas of phenomenology, epistemology, embodiment, feminist comparative philosophy, and environmental philosophy.  McWeeny’s articles have appeared in Hypatia and Simone de Beauvoir Studies, among other venues.  Her current projects include co-editing Liberating Traditions: Essays in Feminist Comparative Philosophy and writing articles on intersectionality theory and the emotions, respectively.</w:t>
      </w:r>
    </w:p>
    <w:p w:rsidR="00C5539D" w:rsidRPr="003A1AFF" w:rsidRDefault="00C5539D" w:rsidP="003A1AFF">
      <w:pPr>
        <w:spacing w:line="240" w:lineRule="auto"/>
        <w:rPr>
          <w:rStyle w:val="Footnote"/>
        </w:rPr>
      </w:pPr>
    </w:p>
  </w:footnote>
  <w:footnote w:id="49">
    <w:p w:rsidR="00C5539D" w:rsidRDefault="00C5539D" w:rsidP="003A1AFF">
      <w:pPr>
        <w:pStyle w:val="FootnoteText"/>
      </w:pPr>
      <w:r w:rsidRPr="003A1AFF">
        <w:rPr>
          <w:rStyle w:val="Footnote"/>
        </w:rPr>
        <w:footnoteRef/>
      </w:r>
      <w:r w:rsidRPr="003A1AFF">
        <w:rPr>
          <w:rStyle w:val="Footnote"/>
        </w:rPr>
        <w:t xml:space="preserve"> I am most grateful to Chloë Taylor for her continued encouragement to pursue this project.  I would also like to express my appreciation for the participants of the “Rethinking the Nonhuman Workshop” hosted by Chloë Taylor and Neil Dalal at the University Alberta, October 1-2, 2010, the 35th Annual Meeting of the International Merleau-Ponty Circle in Asheville, North Carolina, September 24-26, 2010, and the John Carroll University Philosophy Department Colloquium Series who offered insightful comments on earlier versions of this paper.  In addition, I am thankful for the help of Amy Knowlton and Bill McWeeny who pointed me to several sources of information about the biology of right whales and who have devoted much of their lives to protecting these animals.  Finally, I am grateful to the North Atlantic right whales themselves for being here despite the adversity they face and for inspiring this project.</w:t>
      </w:r>
    </w:p>
    <w:p w:rsidR="00C5539D" w:rsidRDefault="00C5539D" w:rsidP="002D463E">
      <w:pPr>
        <w:pStyle w:val="FootnoteText"/>
      </w:pPr>
    </w:p>
  </w:footnote>
  <w:footnote w:id="50">
    <w:p w:rsidR="00C5539D" w:rsidRDefault="00C5539D" w:rsidP="002D463E">
      <w:pPr>
        <w:pStyle w:val="FootnoteText"/>
      </w:pPr>
      <w:r>
        <w:rPr>
          <w:rStyle w:val="FootnoteReference"/>
        </w:rPr>
        <w:footnoteRef/>
      </w:r>
      <w:r>
        <w:t xml:space="preserve"> For overviews of the problems of entanglements and ship-strikes in regard to the North Atlantic right whale population see respectively Johnson et al. (2007) and Knowlton and Brown (2007).</w:t>
      </w:r>
    </w:p>
  </w:footnote>
  <w:footnote w:id="51">
    <w:p w:rsidR="00C5539D" w:rsidRDefault="00C5539D" w:rsidP="002D463E">
      <w:pPr>
        <w:pStyle w:val="FootnoteText"/>
      </w:pPr>
      <w:r>
        <w:rPr>
          <w:rStyle w:val="FootnoteReference"/>
        </w:rPr>
        <w:footnoteRef/>
      </w:r>
      <w:r>
        <w:t xml:space="preserve"> See especially Merleau-Ponty’s essay “The Primacy of Perception and Its Philosophical Consequences” (1947/1964).</w:t>
      </w:r>
    </w:p>
  </w:footnote>
  <w:footnote w:id="52">
    <w:p w:rsidR="00C5539D" w:rsidRDefault="00C5539D" w:rsidP="002D463E">
      <w:pPr>
        <w:pStyle w:val="FootnoteText"/>
      </w:pPr>
      <w:r>
        <w:rPr>
          <w:rStyle w:val="FootnoteReference"/>
        </w:rPr>
        <w:footnoteRef/>
      </w:r>
      <w:r>
        <w:t xml:space="preserve"> Personal correspondence with right whale scientist Amy R. Knowlton, April 11, 2011.</w:t>
      </w:r>
    </w:p>
  </w:footnote>
  <w:footnote w:id="53">
    <w:p w:rsidR="00C5539D" w:rsidRDefault="00C5539D" w:rsidP="002D463E">
      <w:pPr>
        <w:pStyle w:val="FootnoteText"/>
        <w:rPr>
          <w:rStyle w:val="Footnote"/>
        </w:rPr>
      </w:pPr>
      <w:r w:rsidRPr="003A1AFF">
        <w:rPr>
          <w:rStyle w:val="Footnote"/>
        </w:rPr>
        <w:footnoteRef/>
      </w:r>
      <w:r w:rsidRPr="003A1AFF">
        <w:rPr>
          <w:rStyle w:val="Footnote"/>
        </w:rPr>
        <w:t xml:space="preserve"> As a phenomenologist, I am drawn to the surrealist vision of humans being fitted with “time-depth” recorders that are appropriate to their anatomy and activities.  Such recorders could measure the varying distances that a person occupies vis-à-vis particular objects over time and, if we really wanted to push the surrealist, science-fiction reverie, the emotional proximities and distance that a person has with other beings and objects over time.</w:t>
      </w:r>
    </w:p>
    <w:p w:rsidR="00C5539D" w:rsidRPr="003A1AFF" w:rsidRDefault="00C5539D" w:rsidP="002D463E">
      <w:pPr>
        <w:pStyle w:val="FootnoteText"/>
        <w:rPr>
          <w:rStyle w:val="Footnote"/>
        </w:rPr>
      </w:pPr>
    </w:p>
  </w:footnote>
  <w:footnote w:id="54">
    <w:p w:rsidR="00C5539D" w:rsidRDefault="00C5539D" w:rsidP="002D463E">
      <w:pPr>
        <w:pStyle w:val="FootnoteText"/>
        <w:rPr>
          <w:rStyle w:val="Footnote"/>
        </w:rPr>
      </w:pPr>
      <w:r w:rsidRPr="003A1AFF">
        <w:rPr>
          <w:rStyle w:val="Footnote"/>
        </w:rPr>
        <w:footnoteRef/>
      </w:r>
      <w:r w:rsidRPr="003A1AFF">
        <w:rPr>
          <w:rStyle w:val="Footnote"/>
        </w:rPr>
        <w:t xml:space="preserve"> For examples of such studies, see Baumgartner and Mate (2003) and Nowacek et al. (2001).</w:t>
      </w:r>
    </w:p>
    <w:p w:rsidR="00C5539D" w:rsidRPr="003A1AFF" w:rsidRDefault="00C5539D" w:rsidP="002D463E">
      <w:pPr>
        <w:pStyle w:val="FootnoteText"/>
        <w:rPr>
          <w:rStyle w:val="Footnote"/>
        </w:rPr>
      </w:pPr>
    </w:p>
  </w:footnote>
  <w:footnote w:id="55">
    <w:p w:rsidR="00C5539D" w:rsidRDefault="00C5539D" w:rsidP="002D463E">
      <w:pPr>
        <w:pStyle w:val="FootnoteText"/>
      </w:pPr>
      <w:r w:rsidRPr="003A1AFF">
        <w:rPr>
          <w:rStyle w:val="Footnote"/>
        </w:rPr>
        <w:footnoteRef/>
      </w:r>
      <w:r w:rsidRPr="003A1AFF">
        <w:rPr>
          <w:rStyle w:val="Footnote"/>
        </w:rPr>
        <w:t xml:space="preserve"> This calculation was inspired by a discussion of the diving capabilities of sperm whales on the website “The Flying Turtle: Ask Dr. Galapagos,” http://www.ftexploring.com/askdrg/askdrgalapagos2.html.</w:t>
      </w:r>
    </w:p>
  </w:footnote>
  <w:footnote w:id="56">
    <w:p w:rsidR="00C5539D" w:rsidRDefault="00C5539D" w:rsidP="002D463E">
      <w:pPr>
        <w:pStyle w:val="FootnoteText"/>
      </w:pPr>
      <w:r>
        <w:rPr>
          <w:rStyle w:val="FootnoteReference"/>
        </w:rPr>
        <w:footnoteRef/>
      </w:r>
      <w:r>
        <w:t xml:space="preserve"> I am grateful to my colleague, Ian Carlstrom, for pointing this out to me.</w:t>
      </w:r>
    </w:p>
  </w:footnote>
  <w:footnote w:id="57">
    <w:p w:rsidR="00C5539D" w:rsidRDefault="00C5539D" w:rsidP="002D463E">
      <w:pPr>
        <w:pStyle w:val="FootnoteText"/>
      </w:pPr>
      <w:r>
        <w:rPr>
          <w:rStyle w:val="FootnoteReference"/>
        </w:rPr>
        <w:footnoteRef/>
      </w:r>
      <w:r>
        <w:t xml:space="preserve"> The phrase “more-than-human world” is David Abram’s.</w:t>
      </w:r>
    </w:p>
  </w:footnote>
  <w:footnote w:id="58">
    <w:p w:rsidR="00C5539D" w:rsidRPr="003A1AFF" w:rsidRDefault="00C5539D" w:rsidP="002D463E">
      <w:pPr>
        <w:pStyle w:val="FootnoteText"/>
        <w:rPr>
          <w:rStyle w:val="Footnote"/>
        </w:rPr>
      </w:pPr>
      <w:r w:rsidRPr="003A1AFF">
        <w:rPr>
          <w:rStyle w:val="Footnote"/>
        </w:rPr>
        <w:footnoteRef/>
      </w:r>
      <w:r w:rsidRPr="003A1AFF">
        <w:rPr>
          <w:rStyle w:val="Footnote"/>
        </w:rPr>
        <w:t xml:space="preserve"> Emerging fields in phenomenology such as embodied cognition theory and neurophenomenology that rely heavily on data about human-subjects from the cognitive sciences are open to the charge of unwarranted anthropocentrism as well.</w:t>
      </w:r>
    </w:p>
  </w:footnote>
  <w:footnote w:id="59">
    <w:p w:rsidR="00C5539D" w:rsidRPr="003156FD" w:rsidRDefault="00C5539D" w:rsidP="002D463E">
      <w:pPr>
        <w:pStyle w:val="FootnoteText"/>
      </w:pPr>
      <w:r w:rsidRPr="003156FD">
        <w:rPr>
          <w:rStyle w:val="FootnoteReference"/>
        </w:rPr>
        <w:footnoteRef/>
      </w:r>
      <w:r w:rsidRPr="003156FD">
        <w:t xml:space="preserve"> Sarah Hansen a Lecturer in</w:t>
      </w:r>
      <w:r>
        <w:t xml:space="preserve"> the department of</w:t>
      </w:r>
      <w:r w:rsidRPr="003156FD">
        <w:t xml:space="preserve"> Philosophy at Vanderbilt Univ</w:t>
      </w:r>
      <w:r>
        <w:t xml:space="preserve">ersity in Nashville, Tennessee </w:t>
      </w:r>
      <w:r w:rsidRPr="003156FD">
        <w:t>(sarah.k.hansen@vanderbilt.edu).  Sarah's research interests lie in Continental Philosophy and Feminist Theory. Her most recent research focuses on theories of biopower and the work of Michel Foucault, Giorgio Agamben, and Julia Kristeva</w:t>
      </w:r>
      <w:r>
        <w:t>.</w:t>
      </w:r>
    </w:p>
  </w:footnote>
  <w:footnote w:id="60">
    <w:p w:rsidR="00C5539D" w:rsidRPr="003156FD" w:rsidRDefault="00C5539D" w:rsidP="002D463E">
      <w:pPr>
        <w:pStyle w:val="FootnoteText"/>
      </w:pPr>
      <w:r w:rsidRPr="003156FD">
        <w:rPr>
          <w:rStyle w:val="FootnoteReference"/>
        </w:rPr>
        <w:footnoteRef/>
      </w:r>
      <w:r w:rsidRPr="003156FD">
        <w:t xml:space="preserve"> To be sure, in </w:t>
      </w:r>
      <w:r w:rsidRPr="003156FD">
        <w:rPr>
          <w:i/>
        </w:rPr>
        <w:t>Infancy and History</w:t>
      </w:r>
      <w:r w:rsidRPr="003156FD">
        <w:t xml:space="preserve"> Agamben draws on Chomsky, Lenneberg and Jakobsen to offer a more sophisticated account of the “complex interrelation” of endosomatic and esosomatic inheritance in order supports his hypothesis that animals are “always already in language” whereas humans lack language and must “receive it from the outside.” However, this hypothesis, by further twists and turns, also operates through the work of inclusive exclusion. Not only does Agamben cite and disregard important exceptions to it—for instance, the existence of certain birds that, deprived of hearing a song of their species, can only produce the normal song in partial form—but the search for a “mediating element” between endosoma and esosoma returns him, via phonemes, to the “engine”</w:t>
      </w:r>
      <w:r>
        <w:t xml:space="preserve"> of human infancy (Agamben, 1995:</w:t>
      </w:r>
      <w:r w:rsidRPr="003156FD">
        <w:t xml:space="preserve"> 65).</w:t>
      </w:r>
    </w:p>
  </w:footnote>
  <w:footnote w:id="61">
    <w:p w:rsidR="00C5539D" w:rsidRDefault="00C5539D" w:rsidP="002D463E">
      <w:pPr>
        <w:pStyle w:val="FootnoteText"/>
        <w:rPr>
          <w:rStyle w:val="Footnote"/>
        </w:rPr>
      </w:pPr>
      <w:r w:rsidRPr="00066FE8">
        <w:rPr>
          <w:rStyle w:val="Footnote"/>
        </w:rPr>
        <w:footnoteRef/>
      </w:r>
      <w:r w:rsidRPr="00066FE8">
        <w:rPr>
          <w:rStyle w:val="Footnote"/>
        </w:rPr>
        <w:t xml:space="preserve"> Rebecca Tuvel is a Ph.D. candidate and graduate instructor in Philosophy at Vanderbilt University. Rebecca works primarily on 20th-century continental philosophy, feminism, critical animal studies and theories of oppression more generally. She is especially interested in feminist animal studies and its resources for exploring the system that sees both women and animals as consumable objects. Her article "Exposing the Breast: The Animal and the Abject in American Attitudes Towards Breastfeeding" will appear in a forthcoming volume on pregnancy, motherhood and childbirth.</w:t>
      </w:r>
    </w:p>
    <w:p w:rsidR="00C5539D" w:rsidRPr="00066FE8" w:rsidRDefault="00C5539D" w:rsidP="002D463E">
      <w:pPr>
        <w:pStyle w:val="FootnoteText"/>
        <w:rPr>
          <w:rStyle w:val="Footnote"/>
        </w:rPr>
      </w:pPr>
    </w:p>
  </w:footnote>
  <w:footnote w:id="62">
    <w:p w:rsidR="00C5539D" w:rsidRDefault="00C5539D" w:rsidP="002D463E">
      <w:pPr>
        <w:pStyle w:val="FootnoteText"/>
        <w:rPr>
          <w:rStyle w:val="Footnote"/>
        </w:rPr>
      </w:pPr>
      <w:r w:rsidRPr="00066FE8">
        <w:rPr>
          <w:rStyle w:val="Footnote"/>
        </w:rPr>
        <w:footnoteRef/>
      </w:r>
      <w:r w:rsidRPr="00066FE8">
        <w:rPr>
          <w:rStyle w:val="Footnote"/>
        </w:rPr>
        <w:t xml:space="preserve"> The term “Hottentot apron,” the name ascribed to Bartmann’s supposedly “overdeveloped” labia stands for “sinus pudoris” in Latin, meaning “veil of shame” (Derrida, 2008: 83).</w:t>
      </w:r>
    </w:p>
    <w:p w:rsidR="00C5539D" w:rsidRPr="00066FE8" w:rsidRDefault="00C5539D" w:rsidP="002D463E">
      <w:pPr>
        <w:pStyle w:val="FootnoteText"/>
        <w:rPr>
          <w:rStyle w:val="Footnote"/>
        </w:rPr>
      </w:pPr>
    </w:p>
  </w:footnote>
  <w:footnote w:id="63">
    <w:p w:rsidR="00C5539D" w:rsidRDefault="00C5539D" w:rsidP="002D463E">
      <w:pPr>
        <w:pStyle w:val="FootnoteText"/>
        <w:rPr>
          <w:rStyle w:val="Footnote"/>
        </w:rPr>
      </w:pPr>
      <w:r w:rsidRPr="00066FE8">
        <w:rPr>
          <w:rStyle w:val="Footnote"/>
        </w:rPr>
        <w:footnoteRef/>
      </w:r>
      <w:r w:rsidRPr="00066FE8">
        <w:rPr>
          <w:rStyle w:val="Footnote"/>
        </w:rPr>
        <w:t xml:space="preserve"> Harriet Washington explains that “Hottentot,” was a derogatory name for the Khoisan people, apparently meant to imitate the clicking sounds of their language (2006: 84). </w:t>
      </w:r>
    </w:p>
    <w:p w:rsidR="00C5539D" w:rsidRPr="00066FE8" w:rsidRDefault="00C5539D" w:rsidP="002D463E">
      <w:pPr>
        <w:pStyle w:val="FootnoteText"/>
        <w:rPr>
          <w:rStyle w:val="Footnote"/>
        </w:rPr>
      </w:pPr>
    </w:p>
  </w:footnote>
  <w:footnote w:id="64">
    <w:p w:rsidR="00C5539D" w:rsidRPr="006434E7" w:rsidRDefault="00C5539D" w:rsidP="002D463E">
      <w:pPr>
        <w:pStyle w:val="FootnoteText"/>
      </w:pPr>
      <w:r w:rsidRPr="00066FE8">
        <w:rPr>
          <w:rStyle w:val="Footnote"/>
        </w:rPr>
        <w:footnoteRef/>
      </w:r>
      <w:r w:rsidRPr="00066FE8">
        <w:rPr>
          <w:rStyle w:val="Footnote"/>
        </w:rPr>
        <w:t xml:space="preserve"> See Calarco (2008: 103) on this.</w:t>
      </w:r>
    </w:p>
  </w:footnote>
  <w:footnote w:id="65">
    <w:p w:rsidR="00C5539D" w:rsidRDefault="00C5539D" w:rsidP="002D463E">
      <w:pPr>
        <w:spacing w:line="240" w:lineRule="auto"/>
        <w:rPr>
          <w:sz w:val="20"/>
        </w:rPr>
      </w:pPr>
      <w:r w:rsidRPr="006434E7">
        <w:rPr>
          <w:rStyle w:val="FootnoteReference"/>
        </w:rPr>
        <w:footnoteRef/>
      </w:r>
      <w:r w:rsidRPr="006434E7">
        <w:rPr>
          <w:sz w:val="20"/>
        </w:rPr>
        <w:t xml:space="preserve"> My argument is in line with feminist thinkers like Kelly Oliver and Cathryn Bailey who likewise recognize the centrality of the animal-human divide in all forms of oppression (see Bailey, 2004 and Oliver, 2009</w:t>
      </w:r>
      <w:r>
        <w:rPr>
          <w:sz w:val="20"/>
        </w:rPr>
        <w:t>;</w:t>
      </w:r>
      <w:r w:rsidRPr="006434E7">
        <w:rPr>
          <w:sz w:val="20"/>
        </w:rPr>
        <w:t xml:space="preserve"> 2010). As Oliver states, “The man-animal binary is not just any opposition; it is the one used most often to justify violence, not just to animals, but also man’s violence to other people d</w:t>
      </w:r>
      <w:r>
        <w:rPr>
          <w:sz w:val="20"/>
        </w:rPr>
        <w:t>eemed to be like animals” (2009:</w:t>
      </w:r>
      <w:r w:rsidRPr="006434E7">
        <w:rPr>
          <w:sz w:val="20"/>
        </w:rPr>
        <w:t xml:space="preserve"> 304). </w:t>
      </w:r>
    </w:p>
    <w:p w:rsidR="00C5539D" w:rsidRPr="006434E7" w:rsidRDefault="00C5539D" w:rsidP="002D463E">
      <w:pPr>
        <w:spacing w:line="240" w:lineRule="auto"/>
        <w:rPr>
          <w:sz w:val="20"/>
        </w:rPr>
      </w:pPr>
    </w:p>
  </w:footnote>
  <w:footnote w:id="66">
    <w:p w:rsidR="00C5539D" w:rsidRPr="006434E7" w:rsidRDefault="00C5539D" w:rsidP="002D463E">
      <w:pPr>
        <w:pStyle w:val="FootnoteText"/>
      </w:pPr>
      <w:r w:rsidRPr="006434E7">
        <w:rPr>
          <w:rStyle w:val="FootnoteReference"/>
        </w:rPr>
        <w:footnoteRef/>
      </w:r>
      <w:r w:rsidRPr="006434E7">
        <w:t xml:space="preserve">Sharpley-Whiting </w:t>
      </w:r>
      <w:r>
        <w:t>(1999:</w:t>
      </w:r>
      <w:r w:rsidRPr="006434E7">
        <w:t xml:space="preserve"> 18</w:t>
      </w:r>
      <w:r>
        <w:t>)</w:t>
      </w:r>
      <w:r w:rsidRPr="006434E7">
        <w:t>.</w:t>
      </w:r>
    </w:p>
  </w:footnote>
  <w:footnote w:id="67">
    <w:p w:rsidR="00C5539D" w:rsidRDefault="00C5539D" w:rsidP="002D463E">
      <w:pPr>
        <w:pStyle w:val="FootnoteText"/>
      </w:pPr>
      <w:r w:rsidRPr="006434E7">
        <w:rPr>
          <w:rStyle w:val="FootnoteReference"/>
        </w:rPr>
        <w:footnoteRef/>
      </w:r>
      <w:r w:rsidRPr="006434E7">
        <w:t xml:space="preserve"> Sarah did not strip everything, but kept her genitals covered while on display. It was only after her death that researchers analyzed this part of her body. I discuss this later in the paper.</w:t>
      </w:r>
    </w:p>
    <w:p w:rsidR="00C5539D" w:rsidRPr="006434E7" w:rsidRDefault="00C5539D" w:rsidP="002D463E">
      <w:pPr>
        <w:pStyle w:val="FootnoteText"/>
      </w:pPr>
    </w:p>
  </w:footnote>
  <w:footnote w:id="68">
    <w:p w:rsidR="00C5539D" w:rsidRPr="006434E7" w:rsidRDefault="00C5539D" w:rsidP="002D463E">
      <w:pPr>
        <w:pStyle w:val="FootnoteText"/>
      </w:pPr>
      <w:r w:rsidRPr="006434E7">
        <w:rPr>
          <w:rStyle w:val="FootnoteReference"/>
        </w:rPr>
        <w:footnoteRef/>
      </w:r>
      <w:r w:rsidRPr="006434E7">
        <w:t xml:space="preserve"> In his famous piece, “What is it like to be a bat?” Thomas Nagel further asks what it is even </w:t>
      </w:r>
      <w:r w:rsidRPr="006434E7">
        <w:rPr>
          <w:i/>
        </w:rPr>
        <w:t>possible</w:t>
      </w:r>
      <w:r w:rsidRPr="006434E7">
        <w:t xml:space="preserve"> for us to know about the Other from our own vantage point. He criticizes the tendency to think we can know something about the experience of the animal Other outside of the human standards and tools we use to measure. Nagel states “I want to know what it is like for a </w:t>
      </w:r>
      <w:r w:rsidRPr="006434E7">
        <w:rPr>
          <w:i/>
        </w:rPr>
        <w:t>bat</w:t>
      </w:r>
      <w:r w:rsidRPr="006434E7">
        <w:t xml:space="preserve"> to be a bat. Yet if I try to imagine this, I am restricted by the resources of my own mind, and those resources ar</w:t>
      </w:r>
      <w:r>
        <w:t>e inadequate to the task” (1979:</w:t>
      </w:r>
      <w:r w:rsidRPr="006434E7">
        <w:t xml:space="preserve"> 169). Similarly, Montaigne asks of man, “How does he know, by the force of his intelligence, the secret internal stirrings of animals? By what comparison between them and us does he infer the stupidity he attributes to them</w:t>
      </w:r>
      <w:r>
        <w:t>?</w:t>
      </w:r>
      <w:r w:rsidRPr="006434E7">
        <w:t>” (</w:t>
      </w:r>
      <w:r>
        <w:t>as cited in Derrida, 2008: 6)</w:t>
      </w:r>
    </w:p>
  </w:footnote>
  <w:footnote w:id="69">
    <w:p w:rsidR="00C5539D" w:rsidRPr="006434E7" w:rsidRDefault="00C5539D" w:rsidP="002D463E">
      <w:pPr>
        <w:spacing w:line="240" w:lineRule="auto"/>
        <w:rPr>
          <w:sz w:val="20"/>
        </w:rPr>
      </w:pPr>
      <w:r w:rsidRPr="006434E7">
        <w:rPr>
          <w:rStyle w:val="FootnoteReference"/>
        </w:rPr>
        <w:footnoteRef/>
      </w:r>
      <w:r w:rsidRPr="006434E7">
        <w:rPr>
          <w:sz w:val="20"/>
        </w:rPr>
        <w:t xml:space="preserve"> The story of Cain and Abel is also instructive here. We can recall that Cain was a farmer and Abel was a shepherd. When the brothers came to God with sacrifices, God preferred Abel’s animal sacrifice to Cain’s crop sacrifice. Indeed, it was for this reason that Cain was jealous of Abel and thus ended up killing him. For God, the “appropriate” sacrifice was that of the animal body. Similarly, we can say that our “appropriate” sacrifice (required for us to relegate humanity to the heights of divine purity) similarly depends upon and exploits the figure of the animal, who consequently absorbs all that we do not want to associate with ourselves (Genesis 4:2-5). </w:t>
      </w:r>
    </w:p>
  </w:footnote>
  <w:footnote w:id="70">
    <w:p w:rsidR="00C5539D" w:rsidRPr="006434E7" w:rsidRDefault="00C5539D" w:rsidP="002D463E">
      <w:pPr>
        <w:pStyle w:val="FootnoteText"/>
      </w:pPr>
      <w:r w:rsidRPr="006434E7">
        <w:rPr>
          <w:rStyle w:val="FootnoteReference"/>
        </w:rPr>
        <w:footnoteRef/>
      </w:r>
      <w:r w:rsidRPr="006434E7">
        <w:t xml:space="preserve"> To my mind, the French “rebelle” connotes resistance or unwillingness more than refusal. A more appropriate translation would thus perhaps be “…here is an existence that resists conceptualization.”</w:t>
      </w:r>
    </w:p>
  </w:footnote>
  <w:footnote w:id="71">
    <w:p w:rsidR="00C5539D" w:rsidRDefault="00C5539D" w:rsidP="002D463E">
      <w:pPr>
        <w:pStyle w:val="FootnoteText"/>
      </w:pPr>
      <w:r w:rsidRPr="006434E7">
        <w:rPr>
          <w:rStyle w:val="FootnoteReference"/>
        </w:rPr>
        <w:footnoteRef/>
      </w:r>
      <w:r w:rsidRPr="006434E7">
        <w:t xml:space="preserve"> Of course, disrupting the animal-human binary will also have huge implications for the oppression of animals themselves. A full exploration of the importance of this implication is beyond the scope of this paper, but is nonetheless crucial to point out. </w:t>
      </w:r>
    </w:p>
    <w:p w:rsidR="00C5539D" w:rsidRPr="006434E7" w:rsidRDefault="00C5539D" w:rsidP="002D463E">
      <w:pPr>
        <w:pStyle w:val="FootnoteText"/>
      </w:pPr>
    </w:p>
  </w:footnote>
  <w:footnote w:id="72">
    <w:p w:rsidR="00C5539D" w:rsidRDefault="00C5539D" w:rsidP="002D463E">
      <w:pPr>
        <w:pStyle w:val="FootnoteText"/>
      </w:pPr>
      <w:r w:rsidRPr="006434E7">
        <w:rPr>
          <w:rStyle w:val="FootnoteReference"/>
        </w:rPr>
        <w:footnoteRef/>
      </w:r>
      <w:r w:rsidRPr="006434E7">
        <w:t xml:space="preserve"> Derrida makes a similar move with respect to sex difference. In his text, Derrida points to animal bodies that defy the male/female sexed body divide. He states that the silkworm, for instance, is an animal “welcomed on the threshold of sexual difference…</w:t>
      </w:r>
      <w:r>
        <w:t xml:space="preserve"> </w:t>
      </w:r>
      <w:r w:rsidRPr="006434E7">
        <w:t>beyond any sexual difference or rather any duality of the sexes” (</w:t>
      </w:r>
      <w:r>
        <w:t xml:space="preserve">2008: </w:t>
      </w:r>
      <w:r w:rsidRPr="006434E7">
        <w:t>36). Kelly Oliver</w:t>
      </w:r>
      <w:r>
        <w:t xml:space="preserve"> (2010)</w:t>
      </w:r>
      <w:r w:rsidRPr="006434E7">
        <w:t xml:space="preserve"> makes this point in her book. </w:t>
      </w:r>
    </w:p>
    <w:p w:rsidR="00C5539D" w:rsidRPr="006434E7" w:rsidRDefault="00C5539D" w:rsidP="002D463E">
      <w:pPr>
        <w:pStyle w:val="FootnoteText"/>
      </w:pPr>
    </w:p>
  </w:footnote>
  <w:footnote w:id="73">
    <w:p w:rsidR="00C5539D" w:rsidRPr="006434E7" w:rsidRDefault="00C5539D" w:rsidP="002D463E">
      <w:pPr>
        <w:spacing w:line="240" w:lineRule="auto"/>
        <w:rPr>
          <w:sz w:val="20"/>
        </w:rPr>
      </w:pPr>
      <w:r w:rsidRPr="006434E7">
        <w:rPr>
          <w:rStyle w:val="FootnoteReference"/>
        </w:rPr>
        <w:footnoteRef/>
      </w:r>
      <w:r w:rsidRPr="006434E7">
        <w:rPr>
          <w:sz w:val="20"/>
        </w:rPr>
        <w:t xml:space="preserve"> Many thanks to Chris Wells for his indispensable help with this paper.</w:t>
      </w:r>
    </w:p>
  </w:footnote>
  <w:footnote w:id="74">
    <w:p w:rsidR="00C5539D" w:rsidRDefault="00C5539D" w:rsidP="00111B89">
      <w:pPr>
        <w:pStyle w:val="FootnoteText"/>
      </w:pPr>
      <w:r>
        <w:rPr>
          <w:rStyle w:val="FootnoteReference"/>
        </w:rPr>
        <w:footnoteRef/>
      </w:r>
      <w:r>
        <w:t xml:space="preserve"> Matt Applegate: Graduate Student, Department of Comparative Literature, Binghamton University. Matt can be contacted at: </w:t>
      </w:r>
      <w:hyperlink r:id="rId1" w:history="1">
        <w:r w:rsidRPr="00026994">
          <w:rPr>
            <w:rStyle w:val="Hyperlink"/>
          </w:rPr>
          <w:t>mapplega@gmail.com</w:t>
        </w:r>
      </w:hyperlink>
    </w:p>
    <w:p w:rsidR="00C5539D" w:rsidRPr="00111B89" w:rsidRDefault="00C5539D" w:rsidP="00111B89">
      <w:pPr>
        <w:pStyle w:val="FootnoteText"/>
      </w:pPr>
    </w:p>
  </w:footnote>
  <w:footnote w:id="75">
    <w:p w:rsidR="00C5539D" w:rsidRPr="00111B89" w:rsidRDefault="00C5539D">
      <w:pPr>
        <w:pStyle w:val="FootnoteText"/>
      </w:pPr>
      <w:r>
        <w:rPr>
          <w:rStyle w:val="FootnoteReference"/>
        </w:rPr>
        <w:footnoteRef/>
      </w:r>
      <w:r>
        <w:t xml:space="preserve">Greg Pollack can be contacted at: </w:t>
      </w:r>
      <w:hyperlink r:id="rId2" w:history="1">
        <w:r>
          <w:rPr>
            <w:rStyle w:val="Hyperlink"/>
          </w:rPr>
          <w:t>pollockgf@gmail.com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rsidP="000175E0">
    <w:pPr>
      <w:pStyle w:val="Header"/>
      <w:jc w:val="right"/>
      <w:rPr>
        <w:rStyle w:val="Strong"/>
        <w:color w:val="23262A"/>
      </w:rPr>
    </w:pPr>
    <w:r>
      <w:rPr>
        <w:rStyle w:val="Strong"/>
        <w:color w:val="23262A"/>
      </w:rPr>
      <w:t xml:space="preserve">ISSN: </w:t>
    </w:r>
    <w:bookmarkStart w:id="44" w:name="_Hlk242514607"/>
    <w:r>
      <w:rPr>
        <w:rStyle w:val="Strong"/>
        <w:color w:val="23262A"/>
      </w:rPr>
      <w:t>1948-352X</w:t>
    </w:r>
    <w:bookmarkEnd w:id="44"/>
  </w:p>
  <w:p w:rsidR="00C5539D" w:rsidRDefault="00C5539D" w:rsidP="000175E0">
    <w:pPr>
      <w:pStyle w:val="Header"/>
      <w:jc w:val="right"/>
    </w:pPr>
    <w:r>
      <w:t xml:space="preserve">Volume </w:t>
    </w:r>
    <w:r>
      <w:rPr>
        <w:b/>
        <w:bCs/>
      </w:rPr>
      <w:t>IX</w:t>
    </w:r>
    <w:r w:rsidRPr="008B47CA">
      <w:rPr>
        <w:b/>
        <w:bCs/>
      </w:rPr>
      <w:t xml:space="preserve"> </w:t>
    </w:r>
    <w:r>
      <w:rPr>
        <w:b/>
        <w:bCs/>
      </w:rPr>
      <w:t xml:space="preserve">  </w:t>
    </w:r>
    <w:r>
      <w:t xml:space="preserve">Issue </w:t>
    </w:r>
    <w:r>
      <w:rPr>
        <w:b/>
        <w:bCs/>
      </w:rPr>
      <w:t>1/2</w:t>
    </w:r>
    <w:r>
      <w:t xml:space="preserv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rsidP="000175E0">
    <w:pPr>
      <w:pStyle w:val="Header"/>
      <w:jc w:val="right"/>
      <w:rPr>
        <w:rStyle w:val="Strong"/>
        <w:color w:val="23262A"/>
      </w:rPr>
    </w:pPr>
    <w:r>
      <w:rPr>
        <w:rStyle w:val="Strong"/>
        <w:color w:val="23262A"/>
      </w:rPr>
      <w:t>ISSN: 1948-352X</w:t>
    </w:r>
  </w:p>
  <w:p w:rsidR="00C5539D" w:rsidRDefault="00C5539D" w:rsidP="002719B8">
    <w:pPr>
      <w:pStyle w:val="Header"/>
      <w:jc w:val="right"/>
    </w:pPr>
    <w:r>
      <w:t xml:space="preserve">Volume </w:t>
    </w:r>
    <w:r>
      <w:rPr>
        <w:b/>
        <w:bCs/>
      </w:rPr>
      <w:t xml:space="preserve">IX  </w:t>
    </w:r>
    <w:r>
      <w:t xml:space="preserve">Issue </w:t>
    </w:r>
    <w:r>
      <w:rPr>
        <w:b/>
        <w:bCs/>
      </w:rPr>
      <w:t>1/2</w:t>
    </w:r>
    <w:r>
      <w:t xml:space="preserv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rsidP="00017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39D" w:rsidRDefault="00C5539D" w:rsidP="000175E0">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rsidP="000175E0">
    <w:pPr>
      <w:pStyle w:val="Header"/>
      <w:framePr w:wrap="around" w:vAnchor="text" w:hAnchor="margin" w:xAlign="right" w:y="1"/>
      <w:rPr>
        <w:rStyle w:val="PageNumber"/>
      </w:rPr>
    </w:pPr>
  </w:p>
  <w:p w:rsidR="00C5539D" w:rsidRPr="00AA6AB0" w:rsidRDefault="00C5539D" w:rsidP="000175E0">
    <w:pPr>
      <w:pStyle w:val="Footer"/>
      <w:jc w:val="center"/>
      <w:rPr>
        <w:rFonts w:ascii="Garamond" w:hAnsi="Garamond" w:cs="Garamond"/>
        <w:color w:val="000000"/>
        <w:sz w:val="20"/>
      </w:rPr>
    </w:pPr>
    <w:r w:rsidRPr="00501AB5">
      <w:rPr>
        <w:rFonts w:ascii="Garamond" w:hAnsi="Garamond" w:cs="Garamond-Italic"/>
        <w:i/>
        <w:iCs/>
        <w:color w:val="000000"/>
        <w:sz w:val="20"/>
      </w:rPr>
      <w:t xml:space="preserve">Journal for Critical Animal Studies, </w:t>
    </w:r>
    <w:r>
      <w:rPr>
        <w:rFonts w:ascii="Garamond" w:hAnsi="Garamond" w:cs="Garamond"/>
        <w:color w:val="000000"/>
        <w:sz w:val="20"/>
      </w:rPr>
      <w:t>Volume IX, Issue 1/2, 2011 (ISSN</w:t>
    </w:r>
    <w:r w:rsidRPr="008B47CA">
      <w:rPr>
        <w:rFonts w:ascii="Garamond" w:hAnsi="Garamond" w:cs="Garamond"/>
        <w:color w:val="000000"/>
        <w:sz w:val="20"/>
      </w:rPr>
      <w:t>1948-352X</w:t>
    </w:r>
    <w:r>
      <w:rPr>
        <w:rFonts w:ascii="Garamond" w:hAnsi="Garamond" w:cs="Garamond"/>
        <w:color w:val="000000"/>
        <w:sz w:val="2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9D" w:rsidRDefault="00C55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E80"/>
    <w:multiLevelType w:val="hybridMultilevel"/>
    <w:tmpl w:val="48BCD664"/>
    <w:lvl w:ilvl="0" w:tplc="EE62CBA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2">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3">
    <w:nsid w:val="5A8F6EB5"/>
    <w:multiLevelType w:val="hybridMultilevel"/>
    <w:tmpl w:val="85DA5E6C"/>
    <w:lvl w:ilvl="0" w:tplc="ED02251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stylePaneFormatFilter w:val="1024"/>
  <w:doNotTrackMoves/>
  <w:defaultTabStop w:val="720"/>
  <w:drawingGridHorizontalSpacing w:val="120"/>
  <w:displayHorizontalDrawingGridEvery w:val="2"/>
  <w:characterSpacingControl w:val="doNotCompress"/>
  <w:hdrShapeDefaults>
    <o:shapedefaults v:ext="edit" spidmax="3074"/>
  </w:hdrShapeDefaults>
  <w:footnotePr>
    <w:numRestart w:val="eachSect"/>
    <w:footnote w:id="-1"/>
    <w:footnote w:id="0"/>
  </w:footnotePr>
  <w:endnotePr>
    <w:pos w:val="sectEnd"/>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5A4D"/>
    <w:rsid w:val="000175E0"/>
    <w:rsid w:val="000220DD"/>
    <w:rsid w:val="00066FE8"/>
    <w:rsid w:val="000946BF"/>
    <w:rsid w:val="000F5126"/>
    <w:rsid w:val="00111B89"/>
    <w:rsid w:val="001152A4"/>
    <w:rsid w:val="001813D2"/>
    <w:rsid w:val="001B399E"/>
    <w:rsid w:val="001C5782"/>
    <w:rsid w:val="001D0451"/>
    <w:rsid w:val="002248C7"/>
    <w:rsid w:val="002719B8"/>
    <w:rsid w:val="00287ED4"/>
    <w:rsid w:val="002D463E"/>
    <w:rsid w:val="00300041"/>
    <w:rsid w:val="0036482E"/>
    <w:rsid w:val="00376A6A"/>
    <w:rsid w:val="003A1AFF"/>
    <w:rsid w:val="003C485C"/>
    <w:rsid w:val="003C5D98"/>
    <w:rsid w:val="00437C92"/>
    <w:rsid w:val="00460005"/>
    <w:rsid w:val="004621DE"/>
    <w:rsid w:val="004725DC"/>
    <w:rsid w:val="004772CB"/>
    <w:rsid w:val="00480620"/>
    <w:rsid w:val="00487027"/>
    <w:rsid w:val="00490FE7"/>
    <w:rsid w:val="00506EA4"/>
    <w:rsid w:val="00523619"/>
    <w:rsid w:val="00571358"/>
    <w:rsid w:val="005A267C"/>
    <w:rsid w:val="005D501D"/>
    <w:rsid w:val="005E2315"/>
    <w:rsid w:val="005F6657"/>
    <w:rsid w:val="005F7B8D"/>
    <w:rsid w:val="00633F36"/>
    <w:rsid w:val="006421EC"/>
    <w:rsid w:val="0064541B"/>
    <w:rsid w:val="00645A02"/>
    <w:rsid w:val="00650DB8"/>
    <w:rsid w:val="0065381A"/>
    <w:rsid w:val="00663675"/>
    <w:rsid w:val="0067706A"/>
    <w:rsid w:val="006B30A9"/>
    <w:rsid w:val="006C5479"/>
    <w:rsid w:val="006F7D6C"/>
    <w:rsid w:val="007258FF"/>
    <w:rsid w:val="007349E9"/>
    <w:rsid w:val="007A390D"/>
    <w:rsid w:val="007B5C33"/>
    <w:rsid w:val="007B5FEE"/>
    <w:rsid w:val="007C3917"/>
    <w:rsid w:val="007E04BE"/>
    <w:rsid w:val="007F69C3"/>
    <w:rsid w:val="00833236"/>
    <w:rsid w:val="00860F40"/>
    <w:rsid w:val="00870B59"/>
    <w:rsid w:val="008B7347"/>
    <w:rsid w:val="008C4938"/>
    <w:rsid w:val="008C556A"/>
    <w:rsid w:val="008F6360"/>
    <w:rsid w:val="009064BD"/>
    <w:rsid w:val="00907A60"/>
    <w:rsid w:val="0097374B"/>
    <w:rsid w:val="009B08CA"/>
    <w:rsid w:val="009C250F"/>
    <w:rsid w:val="009E0B99"/>
    <w:rsid w:val="009E3B8E"/>
    <w:rsid w:val="009E6FC7"/>
    <w:rsid w:val="00A01000"/>
    <w:rsid w:val="00A04EDC"/>
    <w:rsid w:val="00A30E4F"/>
    <w:rsid w:val="00A40BF4"/>
    <w:rsid w:val="00A455D3"/>
    <w:rsid w:val="00A531BB"/>
    <w:rsid w:val="00A74B53"/>
    <w:rsid w:val="00A97955"/>
    <w:rsid w:val="00AC1564"/>
    <w:rsid w:val="00AE1329"/>
    <w:rsid w:val="00B444D9"/>
    <w:rsid w:val="00B452CC"/>
    <w:rsid w:val="00B51463"/>
    <w:rsid w:val="00B53A5D"/>
    <w:rsid w:val="00B80890"/>
    <w:rsid w:val="00B97B0C"/>
    <w:rsid w:val="00BB6F4D"/>
    <w:rsid w:val="00BC788C"/>
    <w:rsid w:val="00C5539D"/>
    <w:rsid w:val="00C82B42"/>
    <w:rsid w:val="00C97A5A"/>
    <w:rsid w:val="00CA7EC4"/>
    <w:rsid w:val="00CE6AB7"/>
    <w:rsid w:val="00CF6467"/>
    <w:rsid w:val="00D14F23"/>
    <w:rsid w:val="00D31806"/>
    <w:rsid w:val="00D77A98"/>
    <w:rsid w:val="00D83B96"/>
    <w:rsid w:val="00D8785A"/>
    <w:rsid w:val="00DA12D7"/>
    <w:rsid w:val="00DB2C7F"/>
    <w:rsid w:val="00DD5281"/>
    <w:rsid w:val="00DF45BE"/>
    <w:rsid w:val="00E35253"/>
    <w:rsid w:val="00E45A50"/>
    <w:rsid w:val="00E64535"/>
    <w:rsid w:val="00E64890"/>
    <w:rsid w:val="00E8609C"/>
    <w:rsid w:val="00EA42E9"/>
    <w:rsid w:val="00EC346E"/>
    <w:rsid w:val="00EC4D4C"/>
    <w:rsid w:val="00ED253B"/>
    <w:rsid w:val="00ED4FD7"/>
    <w:rsid w:val="00F167BD"/>
    <w:rsid w:val="00F36482"/>
    <w:rsid w:val="00F524A9"/>
    <w:rsid w:val="00F63083"/>
    <w:rsid w:val="00F83A3B"/>
    <w:rsid w:val="00FA0133"/>
    <w:rsid w:val="00FF6E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ystem"/>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2"/>
    <w:pPr>
      <w:spacing w:line="360" w:lineRule="auto"/>
      <w:jc w:val="both"/>
    </w:pPr>
    <w:rPr>
      <w:rFonts w:ascii="Times New Roman" w:hAnsi="Times New Roman"/>
      <w:sz w:val="24"/>
      <w:lang w:eastAsia="zh-CN"/>
    </w:rPr>
  </w:style>
  <w:style w:type="paragraph" w:styleId="Heading1">
    <w:name w:val="heading 1"/>
    <w:basedOn w:val="Normal"/>
    <w:next w:val="Normal"/>
    <w:link w:val="Heading1Char"/>
    <w:autoRedefine/>
    <w:uiPriority w:val="9"/>
    <w:qFormat/>
    <w:rsid w:val="00F63083"/>
    <w:pPr>
      <w:keepNext/>
      <w:spacing w:before="240" w:after="60" w:line="240" w:lineRule="auto"/>
      <w:jc w:val="left"/>
      <w:outlineLvl w:val="0"/>
    </w:pPr>
    <w:rPr>
      <w:rFonts w:cs="Times New Roman"/>
      <w:b/>
      <w:bCs/>
      <w:sz w:val="28"/>
      <w:szCs w:val="28"/>
      <w:lang w:val="en-CA"/>
    </w:rPr>
  </w:style>
  <w:style w:type="paragraph" w:styleId="Heading2">
    <w:name w:val="heading 2"/>
    <w:basedOn w:val="Normal"/>
    <w:next w:val="Normal"/>
    <w:link w:val="Heading2Char"/>
    <w:autoRedefine/>
    <w:qFormat/>
    <w:rsid w:val="00C37E0F"/>
    <w:pPr>
      <w:keepNext/>
      <w:spacing w:before="240" w:after="60"/>
      <w:outlineLvl w:val="1"/>
    </w:pPr>
    <w:rPr>
      <w:rFonts w:cs="Times New Roman"/>
      <w:b/>
      <w:bCs/>
      <w:iCs/>
      <w:szCs w:val="28"/>
    </w:rPr>
  </w:style>
  <w:style w:type="paragraph" w:styleId="Heading3">
    <w:name w:val="heading 3"/>
    <w:basedOn w:val="Normal"/>
    <w:next w:val="Normal"/>
    <w:link w:val="Heading3Char"/>
    <w:autoRedefine/>
    <w:qFormat/>
    <w:rsid w:val="00E35253"/>
    <w:pPr>
      <w:keepNext/>
      <w:spacing w:before="240" w:after="60"/>
      <w:outlineLvl w:val="2"/>
    </w:pPr>
    <w:rPr>
      <w:rFonts w:cs="Times New Roman"/>
      <w:b/>
      <w:bCs/>
      <w:szCs w:val="24"/>
    </w:rPr>
  </w:style>
  <w:style w:type="paragraph" w:styleId="Heading4">
    <w:name w:val="heading 4"/>
    <w:basedOn w:val="Normal"/>
    <w:next w:val="Normal"/>
    <w:link w:val="Heading4Char"/>
    <w:autoRedefine/>
    <w:qFormat/>
    <w:rsid w:val="001907ED"/>
    <w:pPr>
      <w:keepNext/>
      <w:spacing w:before="240" w:after="60"/>
      <w:jc w:val="center"/>
      <w:outlineLvl w:val="3"/>
    </w:pPr>
    <w:rPr>
      <w:b/>
      <w:bCs/>
      <w:szCs w:val="28"/>
    </w:rPr>
  </w:style>
  <w:style w:type="paragraph" w:styleId="Heading5">
    <w:name w:val="heading 5"/>
    <w:basedOn w:val="Normal"/>
    <w:next w:val="Normal"/>
    <w:link w:val="Heading5Char"/>
    <w:autoRedefine/>
    <w:qFormat/>
    <w:rsid w:val="003D3F81"/>
    <w:pPr>
      <w:outlineLvl w:val="4"/>
    </w:pPr>
    <w:rPr>
      <w:b/>
    </w:rPr>
  </w:style>
  <w:style w:type="paragraph" w:styleId="Heading6">
    <w:name w:val="heading 6"/>
    <w:basedOn w:val="HeadingBase"/>
    <w:next w:val="BodyText"/>
    <w:link w:val="Heading6Char"/>
    <w:qFormat/>
    <w:rsid w:val="002D463E"/>
    <w:pPr>
      <w:outlineLvl w:val="5"/>
    </w:pPr>
    <w:rPr>
      <w:i/>
    </w:rPr>
  </w:style>
  <w:style w:type="paragraph" w:styleId="Heading7">
    <w:name w:val="heading 7"/>
    <w:basedOn w:val="Normal"/>
    <w:next w:val="Normal"/>
    <w:link w:val="Heading7Char"/>
    <w:uiPriority w:val="9"/>
    <w:unhideWhenUsed/>
    <w:qFormat/>
    <w:rsid w:val="008C556A"/>
    <w:pPr>
      <w:spacing w:before="240" w:after="60"/>
      <w:outlineLvl w:val="6"/>
    </w:pPr>
    <w:rPr>
      <w:rFonts w:ascii="Calibri" w:hAnsi="Calibri" w:cs="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3083"/>
    <w:rPr>
      <w:rFonts w:ascii="Times New Roman" w:hAnsi="Times New Roman" w:cs="Times New Roman"/>
      <w:b/>
      <w:bCs/>
      <w:sz w:val="28"/>
      <w:szCs w:val="28"/>
      <w:lang w:val="en-CA"/>
    </w:rPr>
  </w:style>
  <w:style w:type="character" w:customStyle="1" w:styleId="Heading2Char">
    <w:name w:val="Heading 2 Char"/>
    <w:basedOn w:val="DefaultParagraphFont"/>
    <w:link w:val="Heading2"/>
    <w:rsid w:val="00C37E0F"/>
    <w:rPr>
      <w:rFonts w:ascii="Times New Roman" w:hAnsi="Times New Roman" w:cs="Times New Roman"/>
      <w:b/>
      <w:bCs/>
      <w:iCs/>
      <w:sz w:val="24"/>
      <w:szCs w:val="28"/>
    </w:rPr>
  </w:style>
  <w:style w:type="character" w:customStyle="1" w:styleId="Heading3Char">
    <w:name w:val="Heading 3 Char"/>
    <w:basedOn w:val="DefaultParagraphFont"/>
    <w:link w:val="Heading3"/>
    <w:rsid w:val="00E35253"/>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1907ED"/>
    <w:rPr>
      <w:rFonts w:ascii="Times New Roman" w:hAnsi="Times New Roman"/>
      <w:b/>
      <w:bCs/>
      <w:sz w:val="24"/>
      <w:szCs w:val="28"/>
    </w:rPr>
  </w:style>
  <w:style w:type="character" w:customStyle="1" w:styleId="Heading5Char">
    <w:name w:val="Heading 5 Char"/>
    <w:basedOn w:val="DefaultParagraphFont"/>
    <w:link w:val="Heading5"/>
    <w:uiPriority w:val="9"/>
    <w:rsid w:val="003D3F81"/>
    <w:rPr>
      <w:rFonts w:ascii="Times New Roman" w:hAnsi="Times New Roman"/>
      <w:b/>
      <w:sz w:val="24"/>
    </w:rPr>
  </w:style>
  <w:style w:type="paragraph" w:customStyle="1" w:styleId="HeadingBase">
    <w:name w:val="Heading Base"/>
    <w:basedOn w:val="BodyText"/>
    <w:next w:val="BodyText"/>
    <w:rsid w:val="002D463E"/>
    <w:pPr>
      <w:keepNext/>
      <w:keepLines/>
      <w:widowControl/>
      <w:spacing w:line="240" w:lineRule="atLeast"/>
    </w:pPr>
    <w:rPr>
      <w:rFonts w:ascii="Garamond" w:eastAsia="Times New Roman" w:hAnsi="Garamond"/>
      <w:kern w:val="20"/>
      <w:sz w:val="20"/>
      <w:lang w:val="en-US"/>
    </w:rPr>
  </w:style>
  <w:style w:type="paragraph" w:styleId="BodyText">
    <w:name w:val="Body Text"/>
    <w:basedOn w:val="Normal"/>
    <w:link w:val="BodyTextChar"/>
    <w:rsid w:val="00EC1114"/>
    <w:pPr>
      <w:widowControl w:val="0"/>
      <w:jc w:val="left"/>
    </w:pPr>
    <w:rPr>
      <w:rFonts w:ascii="Arial" w:eastAsia="MS Mincho" w:hAnsi="Arial" w:cs="Times New Roman"/>
      <w:sz w:val="28"/>
      <w:lang w:eastAsia="en-US"/>
    </w:rPr>
  </w:style>
  <w:style w:type="character" w:customStyle="1" w:styleId="BodyTextChar">
    <w:name w:val="Body Text Char"/>
    <w:basedOn w:val="DefaultParagraphFont"/>
    <w:link w:val="BodyText"/>
    <w:semiHidden/>
    <w:rsid w:val="00EC1114"/>
    <w:rPr>
      <w:rFonts w:ascii="Arial" w:eastAsia="MS Mincho" w:hAnsi="Arial" w:cs="Times New Roman"/>
      <w:sz w:val="28"/>
      <w:lang w:eastAsia="en-US"/>
    </w:rPr>
  </w:style>
  <w:style w:type="character" w:customStyle="1" w:styleId="Heading6Char">
    <w:name w:val="Heading 6 Char"/>
    <w:basedOn w:val="DefaultParagraphFont"/>
    <w:link w:val="Heading6"/>
    <w:rsid w:val="002D463E"/>
    <w:rPr>
      <w:rFonts w:ascii="Garamond" w:eastAsia="Times New Roman" w:hAnsi="Garamond" w:cs="Times New Roman"/>
      <w:i/>
      <w:kern w:val="20"/>
      <w:lang w:val="en-US" w:eastAsia="en-US"/>
    </w:rPr>
  </w:style>
  <w:style w:type="table" w:styleId="TableGrid">
    <w:name w:val="Table Grid"/>
    <w:basedOn w:val="TableNormal"/>
    <w:rsid w:val="00AD1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A42B9"/>
    <w:rPr>
      <w:color w:val="0000FF"/>
      <w:u w:val="single"/>
    </w:rPr>
  </w:style>
  <w:style w:type="character" w:styleId="Emphasis">
    <w:name w:val="Emphasis"/>
    <w:basedOn w:val="DefaultParagraphFont"/>
    <w:uiPriority w:val="20"/>
    <w:qFormat/>
    <w:rsid w:val="002A42B9"/>
    <w:rPr>
      <w:i/>
      <w:iCs/>
    </w:rPr>
  </w:style>
  <w:style w:type="paragraph" w:styleId="Header">
    <w:name w:val="header"/>
    <w:basedOn w:val="Normal"/>
    <w:link w:val="HeaderChar"/>
    <w:rsid w:val="002A42B9"/>
    <w:pPr>
      <w:tabs>
        <w:tab w:val="center" w:pos="4320"/>
        <w:tab w:val="right" w:pos="8640"/>
      </w:tabs>
    </w:pPr>
    <w:rPr>
      <w:rFonts w:eastAsia="Times New Roman" w:cs="Times New Roman"/>
      <w:szCs w:val="24"/>
      <w:lang w:val="en-US" w:eastAsia="en-US"/>
    </w:rPr>
  </w:style>
  <w:style w:type="character" w:customStyle="1" w:styleId="HeaderChar">
    <w:name w:val="Header Char"/>
    <w:basedOn w:val="DefaultParagraphFont"/>
    <w:link w:val="Header"/>
    <w:rsid w:val="002A42B9"/>
    <w:rPr>
      <w:rFonts w:ascii="Times New Roman" w:eastAsia="Times New Roman" w:hAnsi="Times New Roman" w:cs="Times New Roman"/>
      <w:sz w:val="24"/>
      <w:szCs w:val="24"/>
      <w:lang w:val="en-US" w:eastAsia="en-US"/>
    </w:rPr>
  </w:style>
  <w:style w:type="character" w:styleId="PageNumber">
    <w:name w:val="page number"/>
    <w:basedOn w:val="DefaultParagraphFont"/>
    <w:rsid w:val="002A42B9"/>
  </w:style>
  <w:style w:type="character" w:customStyle="1" w:styleId="apple-style-span">
    <w:name w:val="apple-style-span"/>
    <w:basedOn w:val="DefaultParagraphFont"/>
    <w:rsid w:val="002A42B9"/>
  </w:style>
  <w:style w:type="character" w:customStyle="1" w:styleId="apple-converted-space">
    <w:name w:val="apple-converted-space"/>
    <w:basedOn w:val="DefaultParagraphFont"/>
    <w:rsid w:val="002A42B9"/>
  </w:style>
  <w:style w:type="paragraph" w:styleId="MediumGrid2-Accent2">
    <w:name w:val="Medium Grid 2 Accent 2"/>
    <w:basedOn w:val="Normal"/>
    <w:next w:val="Normal"/>
    <w:link w:val="MediumGrid2-Accent2Char"/>
    <w:autoRedefine/>
    <w:uiPriority w:val="29"/>
    <w:qFormat/>
    <w:rsid w:val="006130FE"/>
    <w:pPr>
      <w:autoSpaceDE w:val="0"/>
      <w:autoSpaceDN w:val="0"/>
      <w:adjustRightInd w:val="0"/>
      <w:spacing w:line="240" w:lineRule="auto"/>
      <w:ind w:left="624" w:right="624"/>
    </w:pPr>
    <w:rPr>
      <w:rFonts w:eastAsia="Times New Roman" w:cs="Dutch801BT-Roman"/>
      <w:szCs w:val="24"/>
      <w:lang w:val="en-US" w:eastAsia="en-US" w:bidi="en-US"/>
    </w:rPr>
  </w:style>
  <w:style w:type="character" w:customStyle="1" w:styleId="MediumGrid2-Accent2Char">
    <w:name w:val="Medium Grid 2 - Accent 2 Char"/>
    <w:basedOn w:val="DefaultParagraphFont"/>
    <w:link w:val="MediumGrid2-Accent2"/>
    <w:uiPriority w:val="29"/>
    <w:rsid w:val="006130FE"/>
    <w:rPr>
      <w:rFonts w:ascii="Times New Roman" w:eastAsia="Times New Roman" w:hAnsi="Times New Roman" w:cs="Dutch801BT-Roman"/>
      <w:sz w:val="24"/>
      <w:szCs w:val="24"/>
      <w:lang w:val="en-US" w:eastAsia="en-US" w:bidi="en-US"/>
    </w:rPr>
  </w:style>
  <w:style w:type="paragraph" w:styleId="Footer">
    <w:name w:val="footer"/>
    <w:basedOn w:val="Normal"/>
    <w:link w:val="FooterChar"/>
    <w:uiPriority w:val="99"/>
    <w:unhideWhenUsed/>
    <w:rsid w:val="00515847"/>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515847"/>
    <w:rPr>
      <w:rFonts w:ascii="Times New Roman" w:hAnsi="Times New Roman"/>
      <w:sz w:val="16"/>
    </w:rPr>
  </w:style>
  <w:style w:type="paragraph" w:styleId="EndnoteText">
    <w:name w:val="endnote text"/>
    <w:basedOn w:val="Normal"/>
    <w:link w:val="EndnoteTextChar"/>
    <w:rsid w:val="002A42B9"/>
    <w:pPr>
      <w:spacing w:line="240" w:lineRule="auto"/>
      <w:jc w:val="left"/>
    </w:pPr>
    <w:rPr>
      <w:rFonts w:ascii="Arial" w:eastAsia="Times New Roman" w:hAnsi="Arial" w:cs="Times New Roman"/>
      <w:sz w:val="20"/>
      <w:lang w:val="en-US" w:eastAsia="en-US"/>
    </w:rPr>
  </w:style>
  <w:style w:type="character" w:customStyle="1" w:styleId="EndnoteTextChar">
    <w:name w:val="Endnote Text Char"/>
    <w:basedOn w:val="DefaultParagraphFont"/>
    <w:link w:val="EndnoteText"/>
    <w:rsid w:val="002A42B9"/>
    <w:rPr>
      <w:rFonts w:ascii="Arial" w:eastAsia="Times New Roman" w:hAnsi="Arial" w:cs="Times New Roman"/>
      <w:lang w:val="en-US" w:eastAsia="en-US"/>
    </w:rPr>
  </w:style>
  <w:style w:type="character" w:styleId="EndnoteReference">
    <w:name w:val="endnote reference"/>
    <w:basedOn w:val="DefaultParagraphFont"/>
    <w:rsid w:val="002A42B9"/>
    <w:rPr>
      <w:vertAlign w:val="superscript"/>
    </w:rPr>
  </w:style>
  <w:style w:type="paragraph" w:styleId="NormalWeb">
    <w:name w:val="Normal (Web)"/>
    <w:basedOn w:val="Normal"/>
    <w:uiPriority w:val="99"/>
    <w:rsid w:val="002A42B9"/>
    <w:pPr>
      <w:spacing w:line="240" w:lineRule="auto"/>
      <w:jc w:val="left"/>
    </w:pPr>
    <w:rPr>
      <w:rFonts w:eastAsia="Times New Roman" w:cs="Times New Roman"/>
      <w:szCs w:val="24"/>
      <w:lang w:val="en-US" w:eastAsia="en-US"/>
    </w:rPr>
  </w:style>
  <w:style w:type="paragraph" w:styleId="BodyText2">
    <w:name w:val="Body Text 2"/>
    <w:basedOn w:val="Normal"/>
    <w:link w:val="BodyText2Char"/>
    <w:semiHidden/>
    <w:rsid w:val="00EC1114"/>
    <w:pPr>
      <w:spacing w:line="240" w:lineRule="auto"/>
      <w:jc w:val="center"/>
    </w:pPr>
    <w:rPr>
      <w:rFonts w:eastAsia="MS Mincho" w:cs="Times New Roman"/>
      <w:b/>
      <w:sz w:val="48"/>
      <w:lang w:val="en-US" w:eastAsia="en-US"/>
    </w:rPr>
  </w:style>
  <w:style w:type="character" w:customStyle="1" w:styleId="BodyText2Char">
    <w:name w:val="Body Text 2 Char"/>
    <w:basedOn w:val="DefaultParagraphFont"/>
    <w:link w:val="BodyText2"/>
    <w:semiHidden/>
    <w:rsid w:val="00EC1114"/>
    <w:rPr>
      <w:rFonts w:ascii="Times New Roman" w:eastAsia="MS Mincho" w:hAnsi="Times New Roman" w:cs="Times New Roman"/>
      <w:b/>
      <w:sz w:val="48"/>
      <w:lang w:val="en-US" w:eastAsia="en-US"/>
    </w:rPr>
  </w:style>
  <w:style w:type="paragraph" w:styleId="BodyText3">
    <w:name w:val="Body Text 3"/>
    <w:basedOn w:val="Normal"/>
    <w:link w:val="BodyText3Char"/>
    <w:semiHidden/>
    <w:rsid w:val="00EC1114"/>
    <w:pPr>
      <w:spacing w:line="240" w:lineRule="auto"/>
      <w:jc w:val="center"/>
    </w:pPr>
    <w:rPr>
      <w:rFonts w:eastAsia="MS Mincho" w:cs="Times New Roman"/>
      <w:kern w:val="28"/>
      <w:sz w:val="28"/>
      <w:lang w:eastAsia="en-US"/>
    </w:rPr>
  </w:style>
  <w:style w:type="character" w:customStyle="1" w:styleId="BodyText3Char">
    <w:name w:val="Body Text 3 Char"/>
    <w:basedOn w:val="DefaultParagraphFont"/>
    <w:link w:val="BodyText3"/>
    <w:semiHidden/>
    <w:rsid w:val="00EC1114"/>
    <w:rPr>
      <w:rFonts w:ascii="Times New Roman" w:eastAsia="MS Mincho" w:hAnsi="Times New Roman" w:cs="Times New Roman"/>
      <w:kern w:val="28"/>
      <w:sz w:val="28"/>
      <w:lang w:eastAsia="en-US"/>
    </w:rPr>
  </w:style>
  <w:style w:type="paragraph" w:styleId="BodyTextIndent">
    <w:name w:val="Body Text Indent"/>
    <w:basedOn w:val="Normal"/>
    <w:link w:val="BodyTextIndentChar"/>
    <w:semiHidden/>
    <w:rsid w:val="00EC1114"/>
    <w:pPr>
      <w:ind w:firstLine="720"/>
      <w:jc w:val="left"/>
    </w:pPr>
    <w:rPr>
      <w:rFonts w:eastAsia="MS Mincho" w:cs="Times New Roman"/>
      <w:lang w:val="en-US" w:eastAsia="en-US"/>
    </w:rPr>
  </w:style>
  <w:style w:type="character" w:customStyle="1" w:styleId="BodyTextIndentChar">
    <w:name w:val="Body Text Indent Char"/>
    <w:basedOn w:val="DefaultParagraphFont"/>
    <w:link w:val="BodyTextIndent"/>
    <w:semiHidden/>
    <w:rsid w:val="00EC1114"/>
    <w:rPr>
      <w:rFonts w:ascii="Times New Roman" w:eastAsia="MS Mincho" w:hAnsi="Times New Roman" w:cs="Times New Roman"/>
      <w:sz w:val="24"/>
      <w:lang w:val="en-US" w:eastAsia="en-US"/>
    </w:rPr>
  </w:style>
  <w:style w:type="paragraph" w:styleId="BodyTextIndent2">
    <w:name w:val="Body Text Indent 2"/>
    <w:basedOn w:val="Normal"/>
    <w:link w:val="BodyTextIndent2Char"/>
    <w:rsid w:val="00EC1114"/>
    <w:pPr>
      <w:spacing w:line="240" w:lineRule="auto"/>
      <w:ind w:left="720"/>
      <w:jc w:val="left"/>
    </w:pPr>
    <w:rPr>
      <w:rFonts w:eastAsia="MS Mincho" w:cs="Times New Roman"/>
      <w:lang w:val="en-US" w:eastAsia="en-US"/>
    </w:rPr>
  </w:style>
  <w:style w:type="character" w:customStyle="1" w:styleId="BodyTextIndent2Char">
    <w:name w:val="Body Text Indent 2 Char"/>
    <w:basedOn w:val="DefaultParagraphFont"/>
    <w:link w:val="BodyTextIndent2"/>
    <w:semiHidden/>
    <w:rsid w:val="00EC1114"/>
    <w:rPr>
      <w:rFonts w:ascii="Times New Roman" w:eastAsia="MS Mincho" w:hAnsi="Times New Roman" w:cs="Times New Roman"/>
      <w:sz w:val="24"/>
      <w:lang w:val="en-US" w:eastAsia="en-US"/>
    </w:rPr>
  </w:style>
  <w:style w:type="character" w:styleId="FollowedHyperlink">
    <w:name w:val="FollowedHyperlink"/>
    <w:basedOn w:val="DefaultParagraphFont"/>
    <w:uiPriority w:val="99"/>
    <w:unhideWhenUsed/>
    <w:rsid w:val="00EC1114"/>
    <w:rPr>
      <w:color w:val="800080"/>
      <w:u w:val="single"/>
    </w:rPr>
  </w:style>
  <w:style w:type="paragraph" w:styleId="BalloonText">
    <w:name w:val="Balloon Text"/>
    <w:basedOn w:val="Normal"/>
    <w:link w:val="BalloonTextChar"/>
    <w:unhideWhenUsed/>
    <w:rsid w:val="00EC1114"/>
    <w:pPr>
      <w:spacing w:line="240" w:lineRule="auto"/>
      <w:jc w:val="left"/>
    </w:pPr>
    <w:rPr>
      <w:rFonts w:ascii="Tahoma" w:eastAsia="MS Mincho" w:hAnsi="Tahoma" w:cs="Tahoma"/>
      <w:sz w:val="16"/>
      <w:szCs w:val="16"/>
      <w:lang w:val="en-US" w:eastAsia="en-US"/>
    </w:rPr>
  </w:style>
  <w:style w:type="character" w:customStyle="1" w:styleId="BalloonTextChar">
    <w:name w:val="Balloon Text Char"/>
    <w:basedOn w:val="DefaultParagraphFont"/>
    <w:link w:val="BalloonText"/>
    <w:rsid w:val="00EC1114"/>
    <w:rPr>
      <w:rFonts w:ascii="Tahoma" w:eastAsia="MS Mincho" w:hAnsi="Tahoma" w:cs="Tahoma"/>
      <w:sz w:val="16"/>
      <w:szCs w:val="16"/>
      <w:lang w:val="en-US" w:eastAsia="en-US"/>
    </w:rPr>
  </w:style>
  <w:style w:type="paragraph" w:customStyle="1" w:styleId="TOCHeading">
    <w:name w:val="TOC Heading"/>
    <w:basedOn w:val="Heading1"/>
    <w:next w:val="Normal"/>
    <w:autoRedefine/>
    <w:uiPriority w:val="39"/>
    <w:unhideWhenUsed/>
    <w:qFormat/>
    <w:rsid w:val="008B617D"/>
    <w:pPr>
      <w:keepLines/>
      <w:spacing w:before="480" w:after="0" w:line="276" w:lineRule="auto"/>
      <w:outlineLvl w:val="9"/>
    </w:pPr>
    <w:rPr>
      <w:i/>
      <w:lang w:val="en-US" w:eastAsia="en-US"/>
    </w:rPr>
  </w:style>
  <w:style w:type="paragraph" w:styleId="TOC1">
    <w:name w:val="toc 1"/>
    <w:basedOn w:val="Normal"/>
    <w:next w:val="Normal"/>
    <w:autoRedefine/>
    <w:uiPriority w:val="39"/>
    <w:unhideWhenUsed/>
    <w:qFormat/>
    <w:rsid w:val="009E3B8E"/>
    <w:pPr>
      <w:tabs>
        <w:tab w:val="right" w:leader="dot" w:pos="9016"/>
      </w:tabs>
      <w:spacing w:line="240" w:lineRule="auto"/>
    </w:pPr>
    <w:rPr>
      <w:rFonts w:ascii="Times New Roman Bold" w:hAnsi="Times New Roman Bold"/>
      <w:b/>
      <w:noProof/>
      <w:sz w:val="28"/>
      <w:szCs w:val="28"/>
    </w:rPr>
  </w:style>
  <w:style w:type="paragraph" w:styleId="TOC2">
    <w:name w:val="toc 2"/>
    <w:basedOn w:val="Normal"/>
    <w:next w:val="Normal"/>
    <w:autoRedefine/>
    <w:uiPriority w:val="39"/>
    <w:unhideWhenUsed/>
    <w:qFormat/>
    <w:rsid w:val="00C300F1"/>
    <w:pPr>
      <w:tabs>
        <w:tab w:val="right" w:leader="dot" w:pos="9016"/>
      </w:tabs>
      <w:ind w:left="240"/>
    </w:pPr>
    <w:rPr>
      <w:b/>
      <w:bCs/>
      <w:noProof/>
    </w:rPr>
  </w:style>
  <w:style w:type="paragraph" w:customStyle="1" w:styleId="References">
    <w:name w:val="References"/>
    <w:basedOn w:val="Normal"/>
    <w:autoRedefine/>
    <w:qFormat/>
    <w:rsid w:val="008C556A"/>
    <w:pPr>
      <w:spacing w:line="240" w:lineRule="auto"/>
      <w:ind w:left="720" w:hanging="720"/>
      <w:jc w:val="left"/>
    </w:pPr>
    <w:rPr>
      <w:szCs w:val="16"/>
    </w:rPr>
  </w:style>
  <w:style w:type="paragraph" w:styleId="FootnoteText">
    <w:name w:val="footnote text"/>
    <w:basedOn w:val="Normal"/>
    <w:link w:val="FootnoteTextChar"/>
    <w:rsid w:val="003C630C"/>
    <w:pPr>
      <w:spacing w:line="240" w:lineRule="auto"/>
      <w:jc w:val="left"/>
    </w:pPr>
    <w:rPr>
      <w:rFonts w:eastAsia="Times New Roman" w:cs="Times New Roman"/>
      <w:sz w:val="20"/>
      <w:lang w:val="en-US" w:eastAsia="en-US"/>
    </w:rPr>
  </w:style>
  <w:style w:type="character" w:customStyle="1" w:styleId="FootnoteTextChar">
    <w:name w:val="Footnote Text Char"/>
    <w:basedOn w:val="DefaultParagraphFont"/>
    <w:link w:val="FootnoteText"/>
    <w:rsid w:val="003C630C"/>
    <w:rPr>
      <w:rFonts w:ascii="Times New Roman" w:eastAsia="Times New Roman" w:hAnsi="Times New Roman" w:cs="Times New Roman"/>
      <w:lang w:val="en-US" w:eastAsia="en-US"/>
    </w:rPr>
  </w:style>
  <w:style w:type="character" w:styleId="FootnoteReference">
    <w:name w:val="footnote reference"/>
    <w:basedOn w:val="DefaultParagraphFont"/>
    <w:rsid w:val="00A17339"/>
    <w:rPr>
      <w:rFonts w:ascii="Times New Roman" w:hAnsi="Times New Roman"/>
      <w:sz w:val="20"/>
      <w:vertAlign w:val="superscript"/>
    </w:rPr>
  </w:style>
  <w:style w:type="paragraph" w:styleId="DocumentMap">
    <w:name w:val="Document Map"/>
    <w:basedOn w:val="Normal"/>
    <w:link w:val="DocumentMapChar"/>
    <w:uiPriority w:val="99"/>
    <w:semiHidden/>
    <w:unhideWhenUsed/>
    <w:rsid w:val="001907ED"/>
    <w:rPr>
      <w:rFonts w:ascii="Tahoma" w:hAnsi="Tahoma" w:cs="Tahoma"/>
      <w:sz w:val="16"/>
      <w:szCs w:val="16"/>
    </w:rPr>
  </w:style>
  <w:style w:type="character" w:customStyle="1" w:styleId="DocumentMapChar">
    <w:name w:val="Document Map Char"/>
    <w:basedOn w:val="DefaultParagraphFont"/>
    <w:link w:val="DocumentMap"/>
    <w:uiPriority w:val="99"/>
    <w:semiHidden/>
    <w:rsid w:val="001907ED"/>
    <w:rPr>
      <w:rFonts w:ascii="Tahoma" w:hAnsi="Tahoma" w:cs="Tahoma"/>
      <w:sz w:val="16"/>
      <w:szCs w:val="16"/>
    </w:rPr>
  </w:style>
  <w:style w:type="character" w:customStyle="1" w:styleId="Footnote">
    <w:name w:val="Footnote"/>
    <w:qFormat/>
    <w:rsid w:val="00BE515E"/>
    <w:rPr>
      <w:rFonts w:ascii="Times New Roman" w:hAnsi="Times New Roman"/>
      <w:sz w:val="18"/>
    </w:rPr>
  </w:style>
  <w:style w:type="paragraph" w:customStyle="1" w:styleId="NoSpacing">
    <w:name w:val="No Spacing"/>
    <w:aliases w:val="Abstract"/>
    <w:link w:val="NoSpacingChar"/>
    <w:autoRedefine/>
    <w:uiPriority w:val="1"/>
    <w:qFormat/>
    <w:rsid w:val="00635744"/>
    <w:pPr>
      <w:jc w:val="both"/>
    </w:pPr>
    <w:rPr>
      <w:rFonts w:ascii="Times New Roman" w:hAnsi="Times New Roman"/>
      <w:sz w:val="24"/>
      <w:szCs w:val="24"/>
      <w:lang w:val="en-US" w:eastAsia="en-US"/>
    </w:rPr>
  </w:style>
  <w:style w:type="character" w:customStyle="1" w:styleId="NoSpacingChar">
    <w:name w:val="No Spacing Char"/>
    <w:aliases w:val="Abstract Char"/>
    <w:basedOn w:val="DefaultParagraphFont"/>
    <w:link w:val="NoSpacing"/>
    <w:uiPriority w:val="1"/>
    <w:rsid w:val="00635744"/>
    <w:rPr>
      <w:rFonts w:ascii="Times New Roman" w:hAnsi="Times New Roman"/>
      <w:sz w:val="24"/>
      <w:szCs w:val="24"/>
      <w:lang w:val="en-US" w:eastAsia="en-US" w:bidi="ar-SA"/>
    </w:rPr>
  </w:style>
  <w:style w:type="paragraph" w:styleId="Title">
    <w:name w:val="Title"/>
    <w:basedOn w:val="Normal"/>
    <w:next w:val="Normal"/>
    <w:link w:val="TitleChar"/>
    <w:qFormat/>
    <w:rsid w:val="002707BF"/>
    <w:pPr>
      <w:spacing w:before="240" w:after="60" w:line="240" w:lineRule="auto"/>
      <w:jc w:val="center"/>
      <w:outlineLvl w:val="0"/>
    </w:pPr>
    <w:rPr>
      <w:rFonts w:cs="Times New Roman"/>
      <w:b/>
      <w:bCs/>
      <w:kern w:val="28"/>
      <w:sz w:val="32"/>
      <w:szCs w:val="32"/>
    </w:rPr>
  </w:style>
  <w:style w:type="character" w:customStyle="1" w:styleId="TitleChar">
    <w:name w:val="Title Char"/>
    <w:basedOn w:val="DefaultParagraphFont"/>
    <w:link w:val="Title"/>
    <w:uiPriority w:val="10"/>
    <w:rsid w:val="002707BF"/>
    <w:rPr>
      <w:rFonts w:ascii="Times New Roman" w:eastAsia="SimSun" w:hAnsi="Times New Roman" w:cs="Times New Roman"/>
      <w:b/>
      <w:bCs/>
      <w:kern w:val="28"/>
      <w:sz w:val="32"/>
      <w:szCs w:val="32"/>
    </w:rPr>
  </w:style>
  <w:style w:type="paragraph" w:customStyle="1" w:styleId="Editorialboard">
    <w:name w:val="Editorial board"/>
    <w:basedOn w:val="Normal"/>
    <w:qFormat/>
    <w:rsid w:val="00BE49CA"/>
    <w:pPr>
      <w:spacing w:line="240" w:lineRule="auto"/>
    </w:pPr>
    <w:rPr>
      <w:sz w:val="20"/>
    </w:rPr>
  </w:style>
  <w:style w:type="paragraph" w:customStyle="1" w:styleId="Guidelines">
    <w:name w:val="Guidelines"/>
    <w:basedOn w:val="Normal"/>
    <w:qFormat/>
    <w:rsid w:val="006F144A"/>
    <w:pPr>
      <w:spacing w:line="240" w:lineRule="auto"/>
    </w:pPr>
    <w:rPr>
      <w:sz w:val="16"/>
    </w:rPr>
  </w:style>
  <w:style w:type="character" w:styleId="Strong">
    <w:name w:val="Strong"/>
    <w:basedOn w:val="DefaultParagraphFont"/>
    <w:uiPriority w:val="22"/>
    <w:qFormat/>
    <w:rsid w:val="0076301E"/>
    <w:rPr>
      <w:b/>
      <w:bCs/>
    </w:rPr>
  </w:style>
  <w:style w:type="paragraph" w:styleId="BlockText">
    <w:name w:val="Block Text"/>
    <w:basedOn w:val="Normal"/>
    <w:rsid w:val="00F260DA"/>
    <w:pPr>
      <w:spacing w:line="240" w:lineRule="auto"/>
      <w:ind w:left="539" w:right="566" w:firstLine="539"/>
    </w:pPr>
    <w:rPr>
      <w:rFonts w:eastAsia="Times New Roman" w:cs="David"/>
      <w:szCs w:val="24"/>
      <w:lang w:val="en-US" w:eastAsia="he-IL" w:bidi="he-IL"/>
    </w:rPr>
  </w:style>
  <w:style w:type="character" w:customStyle="1" w:styleId="klink">
    <w:name w:val="klink"/>
    <w:basedOn w:val="DefaultParagraphFont"/>
    <w:rsid w:val="00ED6EE6"/>
  </w:style>
  <w:style w:type="paragraph" w:customStyle="1" w:styleId="macro">
    <w:name w:val="macro"/>
    <w:basedOn w:val="Normal"/>
    <w:rsid w:val="00DE257E"/>
    <w:pPr>
      <w:spacing w:line="240" w:lineRule="auto"/>
    </w:pPr>
    <w:rPr>
      <w:rFonts w:ascii="Times" w:eastAsia="Times New Roman" w:hAnsi="Times" w:cs="Times New Roman"/>
      <w:lang w:val="en-US" w:eastAsia="en-US"/>
    </w:rPr>
  </w:style>
  <w:style w:type="character" w:customStyle="1" w:styleId="senselabelstart">
    <w:name w:val="sense_label start"/>
    <w:basedOn w:val="DefaultParagraphFont"/>
    <w:rsid w:val="00A12F06"/>
  </w:style>
  <w:style w:type="character" w:customStyle="1" w:styleId="sensecontent2">
    <w:name w:val="sense_content2"/>
    <w:basedOn w:val="DefaultParagraphFont"/>
    <w:rsid w:val="00A12F06"/>
    <w:rPr>
      <w:rFonts w:ascii="Times New Roman" w:hAnsi="Times New Roman" w:hint="default"/>
      <w:b w:val="0"/>
      <w:bCs w:val="0"/>
    </w:rPr>
  </w:style>
  <w:style w:type="character" w:customStyle="1" w:styleId="cald-definition1">
    <w:name w:val="cald-definition1"/>
    <w:basedOn w:val="DefaultParagraphFont"/>
    <w:rsid w:val="00A12F06"/>
    <w:rPr>
      <w:rFonts w:ascii="Verdana" w:hAnsi="Verdana" w:hint="default"/>
      <w:i w:val="0"/>
      <w:iCs w:val="0"/>
      <w:color w:val="000000"/>
      <w:sz w:val="24"/>
      <w:szCs w:val="24"/>
    </w:rPr>
  </w:style>
  <w:style w:type="character" w:styleId="CommentReference">
    <w:name w:val="annotation reference"/>
    <w:basedOn w:val="DefaultParagraphFont"/>
    <w:unhideWhenUsed/>
    <w:rsid w:val="00F255E0"/>
    <w:rPr>
      <w:sz w:val="16"/>
      <w:szCs w:val="16"/>
    </w:rPr>
  </w:style>
  <w:style w:type="paragraph" w:styleId="CommentText">
    <w:name w:val="annotation text"/>
    <w:basedOn w:val="Normal"/>
    <w:link w:val="CommentTextChar"/>
    <w:unhideWhenUsed/>
    <w:rsid w:val="00F255E0"/>
    <w:rPr>
      <w:sz w:val="20"/>
    </w:rPr>
  </w:style>
  <w:style w:type="character" w:customStyle="1" w:styleId="CommentTextChar">
    <w:name w:val="Comment Text Char"/>
    <w:basedOn w:val="DefaultParagraphFont"/>
    <w:link w:val="CommentText"/>
    <w:rsid w:val="00F255E0"/>
    <w:rPr>
      <w:rFonts w:ascii="Times New Roman" w:hAnsi="Times New Roman"/>
    </w:rPr>
  </w:style>
  <w:style w:type="paragraph" w:styleId="CommentSubject">
    <w:name w:val="annotation subject"/>
    <w:basedOn w:val="CommentText"/>
    <w:next w:val="CommentText"/>
    <w:link w:val="CommentSubjectChar"/>
    <w:unhideWhenUsed/>
    <w:rsid w:val="00F255E0"/>
    <w:rPr>
      <w:b/>
      <w:bCs/>
    </w:rPr>
  </w:style>
  <w:style w:type="character" w:customStyle="1" w:styleId="CommentSubjectChar">
    <w:name w:val="Comment Subject Char"/>
    <w:basedOn w:val="CommentTextChar"/>
    <w:link w:val="CommentSubject"/>
    <w:rsid w:val="00F255E0"/>
    <w:rPr>
      <w:b/>
      <w:bCs/>
    </w:rPr>
  </w:style>
  <w:style w:type="paragraph" w:styleId="TOC3">
    <w:name w:val="toc 3"/>
    <w:basedOn w:val="Normal"/>
    <w:next w:val="Normal"/>
    <w:autoRedefine/>
    <w:uiPriority w:val="39"/>
    <w:unhideWhenUsed/>
    <w:qFormat/>
    <w:rsid w:val="00632548"/>
    <w:pPr>
      <w:ind w:left="480"/>
    </w:pPr>
  </w:style>
  <w:style w:type="paragraph" w:customStyle="1" w:styleId="Citazione">
    <w:name w:val="Citazione"/>
    <w:basedOn w:val="Normal"/>
    <w:rsid w:val="00083F7F"/>
    <w:pPr>
      <w:tabs>
        <w:tab w:val="left" w:pos="284"/>
      </w:tabs>
      <w:spacing w:line="240" w:lineRule="auto"/>
      <w:ind w:left="851" w:right="851"/>
    </w:pPr>
    <w:rPr>
      <w:rFonts w:eastAsia="Times" w:cs="Times New Roman"/>
      <w:sz w:val="22"/>
      <w:lang w:val="it-IT" w:eastAsia="en-US"/>
    </w:rPr>
  </w:style>
  <w:style w:type="paragraph" w:customStyle="1" w:styleId="Epigrafe">
    <w:name w:val="Epigrafe"/>
    <w:basedOn w:val="Normal"/>
    <w:qFormat/>
    <w:rsid w:val="00083F7F"/>
    <w:pPr>
      <w:tabs>
        <w:tab w:val="left" w:pos="284"/>
      </w:tabs>
      <w:spacing w:line="240" w:lineRule="auto"/>
      <w:ind w:left="1701"/>
    </w:pPr>
    <w:rPr>
      <w:rFonts w:eastAsia="Times" w:cs="Times New Roman"/>
      <w:sz w:val="22"/>
      <w:lang w:val="en-US" w:eastAsia="en-US"/>
    </w:rPr>
  </w:style>
  <w:style w:type="paragraph" w:customStyle="1" w:styleId="indent">
    <w:name w:val="indent"/>
    <w:basedOn w:val="Normal"/>
    <w:rsid w:val="003673BA"/>
    <w:pPr>
      <w:spacing w:before="100" w:beforeAutospacing="1" w:after="100" w:afterAutospacing="1" w:line="240" w:lineRule="auto"/>
      <w:jc w:val="left"/>
    </w:pPr>
    <w:rPr>
      <w:rFonts w:ascii="Arial Unicode MS" w:eastAsia="Arial Unicode MS" w:hAnsi="Arial Unicode MS" w:cs="Arial Unicode MS" w:hint="eastAsia"/>
      <w:szCs w:val="24"/>
      <w:lang w:val="en-AU" w:eastAsia="en-US"/>
    </w:rPr>
  </w:style>
  <w:style w:type="character" w:customStyle="1" w:styleId="citationiacgale">
    <w:name w:val="citation iac gale"/>
    <w:basedOn w:val="DefaultParagraphFont"/>
    <w:rsid w:val="003673BA"/>
  </w:style>
  <w:style w:type="paragraph" w:styleId="HTMLPreformatted">
    <w:name w:val="HTML Preformatted"/>
    <w:basedOn w:val="Normal"/>
    <w:link w:val="HTMLPreformattedChar"/>
    <w:rsid w:val="0036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lang w:val="en-AU" w:eastAsia="en-US"/>
    </w:rPr>
  </w:style>
  <w:style w:type="character" w:customStyle="1" w:styleId="HTMLPreformattedChar">
    <w:name w:val="HTML Preformatted Char"/>
    <w:basedOn w:val="DefaultParagraphFont"/>
    <w:link w:val="HTMLPreformatted"/>
    <w:rsid w:val="003673BA"/>
    <w:rPr>
      <w:rFonts w:ascii="Arial Unicode MS" w:eastAsia="Arial Unicode MS" w:hAnsi="Arial Unicode MS" w:cs="Arial Unicode MS"/>
      <w:lang w:val="en-AU" w:eastAsia="en-US"/>
    </w:rPr>
  </w:style>
  <w:style w:type="paragraph" w:styleId="ColorfulGrid-Accent1">
    <w:name w:val="Colorful Grid Accent 1"/>
    <w:basedOn w:val="MediumGrid2-Accent2"/>
    <w:next w:val="Normal"/>
    <w:link w:val="ColorfulGrid-Accent1Char1"/>
    <w:uiPriority w:val="29"/>
    <w:qFormat/>
    <w:rsid w:val="007F58D0"/>
  </w:style>
  <w:style w:type="character" w:customStyle="1" w:styleId="ColorfulGrid-Accent1Char1">
    <w:name w:val="Colorful Grid - Accent 1 Char1"/>
    <w:basedOn w:val="DefaultParagraphFont"/>
    <w:link w:val="ColorfulGrid-Accent1"/>
    <w:uiPriority w:val="29"/>
    <w:rsid w:val="007F58D0"/>
    <w:rPr>
      <w:rFonts w:ascii="Times New Roman" w:eastAsia="Times New Roman" w:hAnsi="Times New Roman" w:cs="Dutch801BT-Roman"/>
      <w:sz w:val="24"/>
      <w:szCs w:val="24"/>
      <w:lang w:val="en-US" w:eastAsia="en-US" w:bidi="en-US"/>
    </w:rPr>
  </w:style>
  <w:style w:type="paragraph" w:customStyle="1" w:styleId="BodyA">
    <w:name w:val="Body A"/>
    <w:rsid w:val="00727462"/>
    <w:rPr>
      <w:rFonts w:ascii="Helvetica" w:eastAsia="ヒラギノ角ゴ Pro W3" w:hAnsi="Helvetica" w:cs="Times New Roman"/>
      <w:color w:val="000000"/>
      <w:sz w:val="24"/>
      <w:lang w:val="en-US" w:eastAsia="en-US"/>
    </w:rPr>
  </w:style>
  <w:style w:type="paragraph" w:customStyle="1" w:styleId="FootnoteTextAA">
    <w:name w:val="Footnote Text A A"/>
    <w:rsid w:val="00727462"/>
    <w:pPr>
      <w:widowControl w:val="0"/>
      <w:suppressAutoHyphens/>
      <w:spacing w:before="86" w:after="86"/>
      <w:ind w:left="283" w:hanging="283"/>
    </w:pPr>
    <w:rPr>
      <w:rFonts w:ascii="Times New Roman" w:eastAsia="ヒラギノ角ゴ Pro W3" w:hAnsi="Times New Roman" w:cs="Times New Roman"/>
      <w:color w:val="000000"/>
      <w:lang w:val="en-GB" w:eastAsia="en-US"/>
    </w:rPr>
  </w:style>
  <w:style w:type="paragraph" w:customStyle="1" w:styleId="HeaderFooterAA">
    <w:name w:val="Header &amp; Footer A A"/>
    <w:rsid w:val="00727462"/>
    <w:pPr>
      <w:tabs>
        <w:tab w:val="right" w:pos="9360"/>
      </w:tabs>
    </w:pPr>
    <w:rPr>
      <w:rFonts w:ascii="Helvetica" w:eastAsia="ヒラギノ角ゴ Pro W3" w:hAnsi="Helvetica" w:cs="Times New Roman"/>
      <w:color w:val="000000"/>
      <w:lang w:val="en-US" w:eastAsia="en-US"/>
    </w:rPr>
  </w:style>
  <w:style w:type="paragraph" w:customStyle="1" w:styleId="HeadingA">
    <w:name w:val="Heading A"/>
    <w:next w:val="BodyA"/>
    <w:rsid w:val="00727462"/>
    <w:pPr>
      <w:keepNext/>
    </w:pPr>
    <w:rPr>
      <w:rFonts w:ascii="Helvetica" w:eastAsia="ヒラギノ角ゴ Pro W3" w:hAnsi="Helvetica" w:cs="Times New Roman"/>
      <w:b/>
      <w:color w:val="000000"/>
      <w:sz w:val="36"/>
      <w:lang w:val="en-US" w:eastAsia="en-US"/>
    </w:rPr>
  </w:style>
  <w:style w:type="paragraph" w:customStyle="1" w:styleId="FootnoteTextA">
    <w:name w:val="Footnote Text A"/>
    <w:rsid w:val="00727462"/>
    <w:rPr>
      <w:rFonts w:ascii="Helvetica" w:eastAsia="ヒラギノ角ゴ Pro W3" w:hAnsi="Helvetica" w:cs="Times New Roman"/>
      <w:color w:val="000000"/>
      <w:lang w:val="en-US" w:eastAsia="en-US"/>
    </w:rPr>
  </w:style>
  <w:style w:type="paragraph" w:customStyle="1" w:styleId="BodyAA">
    <w:name w:val="Body A A"/>
    <w:rsid w:val="00727462"/>
    <w:rPr>
      <w:rFonts w:ascii="Times New Roman" w:eastAsia="ヒラギノ角ゴ Pro W3" w:hAnsi="Times New Roman" w:cs="Times New Roman"/>
      <w:color w:val="000000"/>
      <w:sz w:val="24"/>
      <w:lang w:val="en-US" w:eastAsia="en-US"/>
    </w:rPr>
  </w:style>
  <w:style w:type="paragraph" w:customStyle="1" w:styleId="HTMLAddress1">
    <w:name w:val="HTML Address1"/>
    <w:rsid w:val="00727462"/>
    <w:rPr>
      <w:rFonts w:ascii="Times New Roman" w:eastAsia="ヒラギノ角ゴ Pro W3" w:hAnsi="Times New Roman" w:cs="Times New Roman"/>
      <w:color w:val="000000"/>
      <w:sz w:val="24"/>
      <w:lang w:val="en-US" w:eastAsia="en-US"/>
    </w:rPr>
  </w:style>
  <w:style w:type="character" w:customStyle="1" w:styleId="itemsubtitleproduct1">
    <w:name w:val="itemsubtitleproduct1"/>
    <w:basedOn w:val="DefaultParagraphFont"/>
    <w:rsid w:val="00727462"/>
    <w:rPr>
      <w:rFonts w:ascii="Verdana" w:hAnsi="Verdana" w:hint="default"/>
      <w:b w:val="0"/>
      <w:bCs w:val="0"/>
      <w:color w:val="000000"/>
      <w:sz w:val="23"/>
      <w:szCs w:val="23"/>
    </w:rPr>
  </w:style>
  <w:style w:type="character" w:customStyle="1" w:styleId="yshortcuts">
    <w:name w:val="yshortcuts"/>
    <w:basedOn w:val="DefaultParagraphFont"/>
    <w:rsid w:val="0011547F"/>
  </w:style>
  <w:style w:type="paragraph" w:customStyle="1" w:styleId="InsideAddress">
    <w:name w:val="Inside Address"/>
    <w:basedOn w:val="Normal"/>
    <w:rsid w:val="0067706A"/>
    <w:pPr>
      <w:spacing w:line="240" w:lineRule="atLeast"/>
    </w:pPr>
    <w:rPr>
      <w:rFonts w:ascii="Garamond" w:eastAsia="Times New Roman" w:hAnsi="Garamond" w:cs="Times New Roman"/>
      <w:kern w:val="18"/>
      <w:sz w:val="20"/>
      <w:lang w:val="en-US" w:eastAsia="en-US"/>
    </w:rPr>
  </w:style>
  <w:style w:type="paragraph" w:styleId="ListParagraph">
    <w:name w:val="List Paragraph"/>
    <w:basedOn w:val="Normal"/>
    <w:uiPriority w:val="34"/>
    <w:qFormat/>
    <w:rsid w:val="002D463E"/>
    <w:pPr>
      <w:spacing w:line="240" w:lineRule="auto"/>
      <w:ind w:left="720"/>
      <w:contextualSpacing/>
      <w:jc w:val="left"/>
    </w:pPr>
    <w:rPr>
      <w:rFonts w:ascii="Cambria" w:eastAsia="Cambria" w:hAnsi="Cambria" w:cs="Times New Roman"/>
      <w:szCs w:val="24"/>
      <w:lang w:val="en-US" w:eastAsia="en-US"/>
    </w:rPr>
  </w:style>
  <w:style w:type="character" w:customStyle="1" w:styleId="resultbody">
    <w:name w:val="resultbody"/>
    <w:basedOn w:val="DefaultParagraphFont"/>
    <w:rsid w:val="002D463E"/>
  </w:style>
  <w:style w:type="character" w:customStyle="1" w:styleId="ouvrage">
    <w:name w:val="ouvrage"/>
    <w:basedOn w:val="DefaultParagraphFont"/>
    <w:rsid w:val="002D463E"/>
  </w:style>
  <w:style w:type="character" w:styleId="HTMLCite">
    <w:name w:val="HTML Cite"/>
    <w:uiPriority w:val="99"/>
    <w:rsid w:val="002D463E"/>
    <w:rPr>
      <w:i/>
    </w:rPr>
  </w:style>
  <w:style w:type="character" w:customStyle="1" w:styleId="z3988">
    <w:name w:val="z3988"/>
    <w:basedOn w:val="DefaultParagraphFont"/>
    <w:rsid w:val="002D463E"/>
  </w:style>
  <w:style w:type="character" w:customStyle="1" w:styleId="pagetitle">
    <w:name w:val="pagetitle"/>
    <w:basedOn w:val="DefaultParagraphFont"/>
    <w:rsid w:val="002D463E"/>
  </w:style>
  <w:style w:type="character" w:customStyle="1" w:styleId="bodycopy">
    <w:name w:val="bodycopy"/>
    <w:basedOn w:val="DefaultParagraphFont"/>
    <w:rsid w:val="002D463E"/>
  </w:style>
  <w:style w:type="paragraph" w:customStyle="1" w:styleId="AttentionLine">
    <w:name w:val="Attention Line"/>
    <w:basedOn w:val="Normal"/>
    <w:next w:val="Salutation"/>
    <w:rsid w:val="002D463E"/>
    <w:pPr>
      <w:spacing w:before="220" w:line="240" w:lineRule="atLeast"/>
    </w:pPr>
    <w:rPr>
      <w:rFonts w:ascii="Garamond" w:eastAsia="Times New Roman" w:hAnsi="Garamond" w:cs="Times New Roman"/>
      <w:kern w:val="18"/>
      <w:sz w:val="20"/>
      <w:lang w:val="en-US" w:eastAsia="en-US"/>
    </w:rPr>
  </w:style>
  <w:style w:type="paragraph" w:styleId="Salutation">
    <w:name w:val="Salutation"/>
    <w:basedOn w:val="Normal"/>
    <w:next w:val="SubjectLine"/>
    <w:link w:val="SalutationChar"/>
    <w:rsid w:val="002D463E"/>
    <w:pPr>
      <w:spacing w:before="240" w:after="240" w:line="240" w:lineRule="atLeast"/>
      <w:jc w:val="left"/>
    </w:pPr>
    <w:rPr>
      <w:rFonts w:ascii="Garamond" w:eastAsia="Times New Roman" w:hAnsi="Garamond" w:cs="Times New Roman"/>
      <w:kern w:val="18"/>
      <w:sz w:val="20"/>
      <w:lang w:val="en-US" w:eastAsia="en-US"/>
    </w:rPr>
  </w:style>
  <w:style w:type="paragraph" w:customStyle="1" w:styleId="SubjectLine">
    <w:name w:val="Subject Line"/>
    <w:basedOn w:val="Normal"/>
    <w:next w:val="BodyText"/>
    <w:rsid w:val="002D463E"/>
    <w:pPr>
      <w:spacing w:after="180" w:line="240" w:lineRule="atLeast"/>
      <w:ind w:left="360" w:hanging="360"/>
      <w:jc w:val="left"/>
    </w:pPr>
    <w:rPr>
      <w:rFonts w:ascii="Garamond" w:eastAsia="Times New Roman" w:hAnsi="Garamond" w:cs="Times New Roman"/>
      <w:caps/>
      <w:kern w:val="18"/>
      <w:sz w:val="21"/>
      <w:lang w:val="en-US" w:eastAsia="en-US"/>
    </w:rPr>
  </w:style>
  <w:style w:type="character" w:customStyle="1" w:styleId="SalutationChar">
    <w:name w:val="Salutation Char"/>
    <w:basedOn w:val="DefaultParagraphFont"/>
    <w:link w:val="Salutation"/>
    <w:rsid w:val="002D463E"/>
    <w:rPr>
      <w:rFonts w:ascii="Garamond" w:eastAsia="Times New Roman" w:hAnsi="Garamond" w:cs="Times New Roman"/>
      <w:kern w:val="18"/>
      <w:lang w:val="en-US" w:eastAsia="en-US"/>
    </w:rPr>
  </w:style>
  <w:style w:type="paragraph" w:customStyle="1" w:styleId="CcList">
    <w:name w:val="Cc List"/>
    <w:basedOn w:val="Normal"/>
    <w:rsid w:val="002D463E"/>
    <w:pPr>
      <w:keepLines/>
      <w:spacing w:line="240" w:lineRule="atLeast"/>
      <w:ind w:left="360" w:hanging="360"/>
    </w:pPr>
    <w:rPr>
      <w:rFonts w:ascii="Garamond" w:eastAsia="Times New Roman" w:hAnsi="Garamond" w:cs="Times New Roman"/>
      <w:kern w:val="18"/>
      <w:sz w:val="20"/>
      <w:lang w:val="en-US" w:eastAsia="en-US"/>
    </w:rPr>
  </w:style>
  <w:style w:type="paragraph" w:styleId="Closing">
    <w:name w:val="Closing"/>
    <w:basedOn w:val="Normal"/>
    <w:next w:val="Signature"/>
    <w:link w:val="ClosingChar"/>
    <w:rsid w:val="002D463E"/>
    <w:pPr>
      <w:keepNext/>
      <w:spacing w:after="120" w:line="240" w:lineRule="atLeast"/>
      <w:ind w:left="4565"/>
    </w:pPr>
    <w:rPr>
      <w:rFonts w:ascii="Garamond" w:eastAsia="Times New Roman" w:hAnsi="Garamond" w:cs="Times New Roman"/>
      <w:kern w:val="18"/>
      <w:sz w:val="20"/>
      <w:lang w:val="en-US" w:eastAsia="en-US"/>
    </w:rPr>
  </w:style>
  <w:style w:type="paragraph" w:styleId="Signature">
    <w:name w:val="Signature"/>
    <w:basedOn w:val="Normal"/>
    <w:next w:val="SignatureJobTitle"/>
    <w:link w:val="SignatureChar"/>
    <w:rsid w:val="002D463E"/>
    <w:pPr>
      <w:keepNext/>
      <w:spacing w:before="880" w:line="240" w:lineRule="atLeast"/>
      <w:ind w:left="4565"/>
      <w:jc w:val="left"/>
    </w:pPr>
    <w:rPr>
      <w:rFonts w:ascii="Garamond" w:eastAsia="Times New Roman" w:hAnsi="Garamond" w:cs="Times New Roman"/>
      <w:kern w:val="18"/>
      <w:sz w:val="20"/>
      <w:lang w:val="en-US" w:eastAsia="en-US"/>
    </w:rPr>
  </w:style>
  <w:style w:type="paragraph" w:customStyle="1" w:styleId="SignatureJobTitle">
    <w:name w:val="Signature Job Title"/>
    <w:basedOn w:val="Signature"/>
    <w:next w:val="SignatureCompany"/>
    <w:rsid w:val="002D463E"/>
    <w:pPr>
      <w:spacing w:before="0"/>
    </w:pPr>
  </w:style>
  <w:style w:type="paragraph" w:customStyle="1" w:styleId="SignatureCompany">
    <w:name w:val="Signature Company"/>
    <w:basedOn w:val="Signature"/>
    <w:next w:val="ReferenceInitials"/>
    <w:rsid w:val="002D463E"/>
    <w:pPr>
      <w:spacing w:before="0"/>
    </w:pPr>
  </w:style>
  <w:style w:type="paragraph" w:customStyle="1" w:styleId="ReferenceInitials">
    <w:name w:val="Reference Initials"/>
    <w:basedOn w:val="Normal"/>
    <w:next w:val="Enclosure"/>
    <w:rsid w:val="002D463E"/>
    <w:pPr>
      <w:keepNext/>
      <w:spacing w:before="220" w:line="240" w:lineRule="atLeast"/>
      <w:jc w:val="left"/>
    </w:pPr>
    <w:rPr>
      <w:rFonts w:ascii="Garamond" w:eastAsia="Times New Roman" w:hAnsi="Garamond" w:cs="Times New Roman"/>
      <w:kern w:val="18"/>
      <w:sz w:val="20"/>
      <w:lang w:val="en-US" w:eastAsia="en-US"/>
    </w:rPr>
  </w:style>
  <w:style w:type="paragraph" w:customStyle="1" w:styleId="Enclosure">
    <w:name w:val="Enclosure"/>
    <w:basedOn w:val="Normal"/>
    <w:next w:val="CcList"/>
    <w:rsid w:val="002D463E"/>
    <w:pPr>
      <w:keepNext/>
      <w:keepLines/>
      <w:spacing w:before="120" w:after="120" w:line="240" w:lineRule="atLeast"/>
    </w:pPr>
    <w:rPr>
      <w:rFonts w:ascii="Garamond" w:eastAsia="Times New Roman" w:hAnsi="Garamond" w:cs="Times New Roman"/>
      <w:kern w:val="18"/>
      <w:sz w:val="20"/>
      <w:lang w:val="en-US" w:eastAsia="en-US"/>
    </w:rPr>
  </w:style>
  <w:style w:type="character" w:customStyle="1" w:styleId="SignatureChar">
    <w:name w:val="Signature Char"/>
    <w:basedOn w:val="DefaultParagraphFont"/>
    <w:link w:val="Signature"/>
    <w:rsid w:val="002D463E"/>
    <w:rPr>
      <w:rFonts w:ascii="Garamond" w:eastAsia="Times New Roman" w:hAnsi="Garamond" w:cs="Times New Roman"/>
      <w:kern w:val="18"/>
      <w:lang w:val="en-US" w:eastAsia="en-US"/>
    </w:rPr>
  </w:style>
  <w:style w:type="character" w:customStyle="1" w:styleId="ClosingChar">
    <w:name w:val="Closing Char"/>
    <w:basedOn w:val="DefaultParagraphFont"/>
    <w:link w:val="Closing"/>
    <w:rsid w:val="002D463E"/>
    <w:rPr>
      <w:rFonts w:ascii="Garamond" w:eastAsia="Times New Roman" w:hAnsi="Garamond" w:cs="Times New Roman"/>
      <w:kern w:val="18"/>
      <w:lang w:val="en-US" w:eastAsia="en-US"/>
    </w:rPr>
  </w:style>
  <w:style w:type="paragraph" w:customStyle="1" w:styleId="CompanyName">
    <w:name w:val="Company Name"/>
    <w:basedOn w:val="BodyText"/>
    <w:next w:val="Date"/>
    <w:rsid w:val="002D463E"/>
    <w:pPr>
      <w:keepLines/>
      <w:framePr w:w="8640" w:h="1440" w:wrap="notBeside" w:vAnchor="page" w:hAnchor="margin" w:xAlign="center" w:y="889"/>
      <w:widowControl/>
      <w:spacing w:after="40" w:line="240" w:lineRule="atLeast"/>
      <w:jc w:val="center"/>
    </w:pPr>
    <w:rPr>
      <w:rFonts w:ascii="Garamond" w:eastAsia="Times New Roman" w:hAnsi="Garamond"/>
      <w:caps/>
      <w:spacing w:val="75"/>
      <w:kern w:val="18"/>
      <w:sz w:val="21"/>
      <w:lang w:val="en-US"/>
    </w:rPr>
  </w:style>
  <w:style w:type="paragraph" w:styleId="Date">
    <w:name w:val="Date"/>
    <w:basedOn w:val="Normal"/>
    <w:next w:val="InsideAddressName"/>
    <w:link w:val="DateChar"/>
    <w:rsid w:val="002D463E"/>
    <w:pPr>
      <w:spacing w:after="220" w:line="240" w:lineRule="auto"/>
      <w:ind w:left="4565"/>
    </w:pPr>
    <w:rPr>
      <w:rFonts w:ascii="Garamond" w:eastAsia="Times New Roman" w:hAnsi="Garamond" w:cs="Times New Roman"/>
      <w:kern w:val="18"/>
      <w:sz w:val="20"/>
      <w:lang w:val="en-US" w:eastAsia="en-US"/>
    </w:rPr>
  </w:style>
  <w:style w:type="paragraph" w:customStyle="1" w:styleId="InsideAddressName">
    <w:name w:val="Inside Address Name"/>
    <w:basedOn w:val="InsideAddress"/>
    <w:next w:val="InsideAddress"/>
    <w:rsid w:val="002D463E"/>
    <w:pPr>
      <w:spacing w:before="220"/>
    </w:pPr>
  </w:style>
  <w:style w:type="character" w:customStyle="1" w:styleId="DateChar">
    <w:name w:val="Date Char"/>
    <w:basedOn w:val="DefaultParagraphFont"/>
    <w:link w:val="Date"/>
    <w:rsid w:val="002D463E"/>
    <w:rPr>
      <w:rFonts w:ascii="Garamond" w:eastAsia="Times New Roman" w:hAnsi="Garamond" w:cs="Times New Roman"/>
      <w:kern w:val="18"/>
      <w:lang w:val="en-US" w:eastAsia="en-US"/>
    </w:rPr>
  </w:style>
  <w:style w:type="paragraph" w:customStyle="1" w:styleId="MailingInstructions">
    <w:name w:val="Mailing Instructions"/>
    <w:basedOn w:val="Normal"/>
    <w:next w:val="InsideAddressName"/>
    <w:rsid w:val="002D463E"/>
    <w:pPr>
      <w:keepNext/>
      <w:spacing w:after="240" w:line="240" w:lineRule="atLeast"/>
    </w:pPr>
    <w:rPr>
      <w:rFonts w:ascii="Garamond" w:eastAsia="Times New Roman" w:hAnsi="Garamond" w:cs="Times New Roman"/>
      <w:caps/>
      <w:kern w:val="18"/>
      <w:sz w:val="20"/>
      <w:lang w:val="en-US" w:eastAsia="en-US"/>
    </w:rPr>
  </w:style>
  <w:style w:type="paragraph" w:customStyle="1" w:styleId="ReferenceLine">
    <w:name w:val="Reference Line"/>
    <w:basedOn w:val="Normal"/>
    <w:next w:val="MailingInstructions"/>
    <w:rsid w:val="002D463E"/>
    <w:pPr>
      <w:keepNext/>
      <w:spacing w:after="240" w:line="240" w:lineRule="atLeast"/>
      <w:jc w:val="left"/>
    </w:pPr>
    <w:rPr>
      <w:rFonts w:ascii="Garamond" w:eastAsia="Times New Roman" w:hAnsi="Garamond" w:cs="Times New Roman"/>
      <w:kern w:val="18"/>
      <w:sz w:val="20"/>
      <w:lang w:val="en-US" w:eastAsia="en-US"/>
    </w:rPr>
  </w:style>
  <w:style w:type="paragraph" w:customStyle="1" w:styleId="ReturnAddress">
    <w:name w:val="Return Address"/>
    <w:rsid w:val="002D463E"/>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s="Times New Roman"/>
      <w:caps/>
      <w:spacing w:val="30"/>
      <w:sz w:val="14"/>
      <w:lang w:val="en-US" w:eastAsia="en-US"/>
    </w:rPr>
  </w:style>
  <w:style w:type="character" w:customStyle="1" w:styleId="Slogan">
    <w:name w:val="Slogan"/>
    <w:rsid w:val="002D463E"/>
    <w:rPr>
      <w:i/>
      <w:spacing w:val="70"/>
    </w:rPr>
  </w:style>
  <w:style w:type="paragraph" w:styleId="List">
    <w:name w:val="List"/>
    <w:basedOn w:val="BodyText"/>
    <w:rsid w:val="002D463E"/>
    <w:pPr>
      <w:widowControl/>
      <w:spacing w:after="240" w:line="240" w:lineRule="atLeast"/>
      <w:ind w:left="720" w:hanging="360"/>
      <w:jc w:val="both"/>
    </w:pPr>
    <w:rPr>
      <w:rFonts w:ascii="Garamond" w:eastAsia="Times New Roman" w:hAnsi="Garamond"/>
      <w:kern w:val="18"/>
      <w:sz w:val="20"/>
      <w:lang w:val="en-US"/>
    </w:rPr>
  </w:style>
  <w:style w:type="paragraph" w:styleId="ListBullet">
    <w:name w:val="List Bullet"/>
    <w:basedOn w:val="List"/>
    <w:rsid w:val="002D463E"/>
    <w:pPr>
      <w:numPr>
        <w:numId w:val="1"/>
      </w:numPr>
    </w:pPr>
  </w:style>
  <w:style w:type="paragraph" w:styleId="ListNumber">
    <w:name w:val="List Number"/>
    <w:basedOn w:val="List"/>
    <w:rsid w:val="002D463E"/>
    <w:pPr>
      <w:numPr>
        <w:numId w:val="2"/>
      </w:numPr>
    </w:pPr>
  </w:style>
  <w:style w:type="character" w:customStyle="1" w:styleId="referencetext">
    <w:name w:val="referencetext"/>
    <w:basedOn w:val="DefaultParagraphFont"/>
    <w:rsid w:val="002D463E"/>
  </w:style>
  <w:style w:type="paragraph" w:customStyle="1" w:styleId="Default">
    <w:name w:val="Default"/>
    <w:rsid w:val="002D463E"/>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BodyTextFirstIndentChar">
    <w:name w:val="Body Text First Indent Char"/>
    <w:basedOn w:val="BodyTextChar"/>
    <w:link w:val="BodyTextFirstIndent"/>
    <w:semiHidden/>
    <w:rsid w:val="002D463E"/>
    <w:rPr>
      <w:rFonts w:ascii="Times New Roman" w:eastAsia="Times New Roman" w:hAnsi="Times New Roman"/>
      <w:lang w:val="en-CA"/>
    </w:rPr>
  </w:style>
  <w:style w:type="paragraph" w:styleId="BodyTextFirstIndent">
    <w:name w:val="Body Text First Indent"/>
    <w:basedOn w:val="BodyText"/>
    <w:link w:val="BodyTextFirstIndentChar"/>
    <w:semiHidden/>
    <w:rsid w:val="002D463E"/>
    <w:pPr>
      <w:widowControl/>
      <w:spacing w:after="120" w:line="240" w:lineRule="auto"/>
      <w:ind w:firstLine="210"/>
    </w:pPr>
    <w:rPr>
      <w:rFonts w:ascii="Times New Roman" w:eastAsia="Times New Roman" w:hAnsi="Times New Roman"/>
      <w:sz w:val="20"/>
      <w:lang w:val="en-CA"/>
    </w:rPr>
  </w:style>
  <w:style w:type="paragraph" w:customStyle="1" w:styleId="FreeFormA">
    <w:name w:val="Free Form A"/>
    <w:rsid w:val="00D83B96"/>
    <w:rPr>
      <w:rFonts w:ascii="Helvetica" w:eastAsia="ヒラギノ角ゴ Pro W3" w:hAnsi="Helvetica" w:cs="Times New Roman"/>
      <w:color w:val="000000"/>
      <w:sz w:val="24"/>
      <w:lang w:val="en-US" w:eastAsia="zh-CN"/>
    </w:rPr>
  </w:style>
  <w:style w:type="character" w:customStyle="1" w:styleId="credit">
    <w:name w:val="credit"/>
    <w:basedOn w:val="DefaultParagraphFont"/>
    <w:rsid w:val="002D463E"/>
  </w:style>
  <w:style w:type="character" w:customStyle="1" w:styleId="middle">
    <w:name w:val="middle"/>
    <w:rsid w:val="002D463E"/>
    <w:rPr>
      <w:rFonts w:ascii="HelveticaCYPlain" w:hAnsi="HelveticaCYPlain" w:cs="HelveticaCYPlain"/>
      <w:color w:val="000000"/>
      <w:sz w:val="24"/>
      <w:szCs w:val="24"/>
    </w:rPr>
  </w:style>
  <w:style w:type="character" w:customStyle="1" w:styleId="citation">
    <w:name w:val="citation"/>
    <w:basedOn w:val="DefaultParagraphFont"/>
    <w:rsid w:val="002D463E"/>
  </w:style>
  <w:style w:type="character" w:customStyle="1" w:styleId="reference-accessdate">
    <w:name w:val="reference-accessdate"/>
    <w:basedOn w:val="DefaultParagraphFont"/>
    <w:rsid w:val="002D463E"/>
  </w:style>
  <w:style w:type="character" w:customStyle="1" w:styleId="printonly">
    <w:name w:val="printonly"/>
    <w:basedOn w:val="DefaultParagraphFont"/>
    <w:rsid w:val="002D463E"/>
  </w:style>
  <w:style w:type="character" w:customStyle="1" w:styleId="search-result-highlight">
    <w:name w:val="search-result-highlight"/>
    <w:basedOn w:val="DefaultParagraphFont"/>
    <w:rsid w:val="002D463E"/>
  </w:style>
  <w:style w:type="character" w:customStyle="1" w:styleId="cit-print-date">
    <w:name w:val="cit-print-date"/>
    <w:basedOn w:val="DefaultParagraphFont"/>
    <w:rsid w:val="002D463E"/>
  </w:style>
  <w:style w:type="character" w:customStyle="1" w:styleId="cit-first-page">
    <w:name w:val="cit-first-page"/>
    <w:basedOn w:val="DefaultParagraphFont"/>
    <w:rsid w:val="002D463E"/>
  </w:style>
  <w:style w:type="character" w:customStyle="1" w:styleId="cit-sep">
    <w:name w:val="cit-sep"/>
    <w:basedOn w:val="DefaultParagraphFont"/>
    <w:rsid w:val="002D463E"/>
  </w:style>
  <w:style w:type="character" w:customStyle="1" w:styleId="cit-last-page">
    <w:name w:val="cit-last-page"/>
    <w:basedOn w:val="DefaultParagraphFont"/>
    <w:rsid w:val="002D463E"/>
  </w:style>
  <w:style w:type="character" w:customStyle="1" w:styleId="Heading7Char">
    <w:name w:val="Heading 7 Char"/>
    <w:basedOn w:val="DefaultParagraphFont"/>
    <w:link w:val="Heading7"/>
    <w:uiPriority w:val="9"/>
    <w:rsid w:val="008C556A"/>
    <w:rPr>
      <w:rFonts w:ascii="Calibri" w:eastAsia="SimSun" w:hAnsi="Calibri" w:cs="Arial"/>
      <w:sz w:val="24"/>
      <w:szCs w:val="24"/>
    </w:rPr>
  </w:style>
  <w:style w:type="paragraph" w:styleId="Quote">
    <w:name w:val="Quote"/>
    <w:basedOn w:val="Normal"/>
    <w:next w:val="Normal"/>
    <w:link w:val="QuoteChar"/>
    <w:uiPriority w:val="29"/>
    <w:qFormat/>
    <w:rsid w:val="00066FE8"/>
    <w:pPr>
      <w:ind w:left="284" w:right="284"/>
    </w:pPr>
    <w:rPr>
      <w:iCs/>
      <w:color w:val="000000"/>
    </w:rPr>
  </w:style>
  <w:style w:type="character" w:customStyle="1" w:styleId="QuoteChar">
    <w:name w:val="Quote Char"/>
    <w:basedOn w:val="DefaultParagraphFont"/>
    <w:link w:val="Quote"/>
    <w:uiPriority w:val="29"/>
    <w:rsid w:val="00066FE8"/>
    <w:rPr>
      <w:rFonts w:ascii="Times New Roman" w:hAnsi="Times New Roman"/>
      <w:iCs/>
      <w:color w:val="000000"/>
      <w:sz w:val="24"/>
    </w:rPr>
  </w:style>
</w:styles>
</file>

<file path=word/webSettings.xml><?xml version="1.0" encoding="utf-8"?>
<w:webSettings xmlns:r="http://schemas.openxmlformats.org/officeDocument/2006/relationships" xmlns:w="http://schemas.openxmlformats.org/wordprocessingml/2006/main">
  <w:divs>
    <w:div w:id="576596923">
      <w:bodyDiv w:val="1"/>
      <w:marLeft w:val="0"/>
      <w:marRight w:val="0"/>
      <w:marTop w:val="0"/>
      <w:marBottom w:val="0"/>
      <w:divBdr>
        <w:top w:val="none" w:sz="0" w:space="0" w:color="auto"/>
        <w:left w:val="none" w:sz="0" w:space="0" w:color="auto"/>
        <w:bottom w:val="none" w:sz="0" w:space="0" w:color="auto"/>
        <w:right w:val="none" w:sz="0" w:space="0" w:color="auto"/>
      </w:divBdr>
    </w:div>
    <w:div w:id="748815201">
      <w:bodyDiv w:val="1"/>
      <w:marLeft w:val="0"/>
      <w:marRight w:val="0"/>
      <w:marTop w:val="0"/>
      <w:marBottom w:val="0"/>
      <w:divBdr>
        <w:top w:val="none" w:sz="0" w:space="0" w:color="auto"/>
        <w:left w:val="none" w:sz="0" w:space="0" w:color="auto"/>
        <w:bottom w:val="none" w:sz="0" w:space="0" w:color="auto"/>
        <w:right w:val="none" w:sz="0" w:space="0" w:color="auto"/>
      </w:divBdr>
    </w:div>
    <w:div w:id="868376297">
      <w:bodyDiv w:val="1"/>
      <w:marLeft w:val="0"/>
      <w:marRight w:val="0"/>
      <w:marTop w:val="0"/>
      <w:marBottom w:val="0"/>
      <w:divBdr>
        <w:top w:val="none" w:sz="0" w:space="0" w:color="auto"/>
        <w:left w:val="none" w:sz="0" w:space="0" w:color="auto"/>
        <w:bottom w:val="none" w:sz="0" w:space="0" w:color="auto"/>
        <w:right w:val="none" w:sz="0" w:space="0" w:color="auto"/>
      </w:divBdr>
    </w:div>
    <w:div w:id="1001540707">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3670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chard.White@shu.ac.uk" TargetMode="External"/><Relationship Id="rId18" Type="http://schemas.openxmlformats.org/officeDocument/2006/relationships/hyperlink" Target="mailto:r.twine@lancaster.ac.uk" TargetMode="External"/><Relationship Id="rId26" Type="http://schemas.openxmlformats.org/officeDocument/2006/relationships/header" Target="header5.xml"/><Relationship Id="rId39" Type="http://schemas.openxmlformats.org/officeDocument/2006/relationships/hyperlink" Target="http://www.chem.unep.ch/POPs/POPs_Inc/press_releases/ottawa-1.htm.%205%20July%201998" TargetMode="External"/><Relationship Id="rId21" Type="http://schemas.openxmlformats.org/officeDocument/2006/relationships/hyperlink" Target="mailto:adam.weitzenfeld@gmail.com" TargetMode="External"/><Relationship Id="rId34" Type="http://schemas.openxmlformats.org/officeDocument/2006/relationships/hyperlink" Target="http://news.bbc.co.uk/2/hi/health/4529273.stm" TargetMode="External"/><Relationship Id="rId42" Type="http://schemas.openxmlformats.org/officeDocument/2006/relationships/hyperlink" Target="http://www.tarasgrescoe.com/op-eds_articles.html#invasive" TargetMode="External"/><Relationship Id="rId47" Type="http://schemas.openxmlformats.org/officeDocument/2006/relationships/hyperlink" Target="http://www.3news.co.nz/Sea-squirts-A-biosecurity%20challenge/tabid/1360/articleID/170506/Default.aspx" TargetMode="External"/><Relationship Id="rId50" Type="http://schemas.openxmlformats.org/officeDocument/2006/relationships/hyperlink" Target="http://www.springerlink.com/content/978-1-4020-6306-0/" TargetMode="External"/><Relationship Id="rId55" Type="http://schemas.openxmlformats.org/officeDocument/2006/relationships/header" Target="header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lauraashields@hotmail.com" TargetMode="External"/><Relationship Id="rId20" Type="http://schemas.openxmlformats.org/officeDocument/2006/relationships/hyperlink" Target="mailto:lauraashields@hotmail.com" TargetMode="External"/><Relationship Id="rId29" Type="http://schemas.openxmlformats.org/officeDocument/2006/relationships/hyperlink" Target="http://en.wikipedia.org/wiki/Pollutants" TargetMode="External"/><Relationship Id="rId41" Type="http://schemas.openxmlformats.org/officeDocument/2006/relationships/hyperlink" Target="http://www.greatapeproject.org/" TargetMode="External"/><Relationship Id="rId54" Type="http://schemas.openxmlformats.org/officeDocument/2006/relationships/hyperlink" Target="http://en.wikipedia.org/wiki/Ascidiac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yperlink" Target="http://www.freerepublic.com/focus/f-news/1469098/posts" TargetMode="External"/><Relationship Id="rId37" Type="http://schemas.openxmlformats.org/officeDocument/2006/relationships/hyperlink" Target="http://www.news.harvard.edu/gazette/2000/05.04/cancersquirt.html.%20May%202000" TargetMode="External"/><Relationship Id="rId40" Type="http://schemas.openxmlformats.org/officeDocument/2006/relationships/hyperlink" Target="http://redtideflorida.org/pages/what-is-red-tide" TargetMode="External"/><Relationship Id="rId45" Type="http://schemas.openxmlformats.org/officeDocument/2006/relationships/hyperlink" Target="https://www.qualitymarine.com/News/Species-Spotlight/Bizarre-and-Surprising,-Sea-Squirt-Care-is-a-New-Type-of-Challenge.-%2803/31/10%29" TargetMode="External"/><Relationship Id="rId53" Type="http://schemas.openxmlformats.org/officeDocument/2006/relationships/hyperlink" Target="http://www.cbsnews.com/stories/2010/04/16/eveningnews/main6403983.shtml.%2016%20April%202010" TargetMode="External"/><Relationship Id="rId58"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johnsonlin@mst.edu" TargetMode="External"/><Relationship Id="rId23" Type="http://schemas.openxmlformats.org/officeDocument/2006/relationships/hyperlink" Target="http://www.criticalanimalstudies.org/?page_id=393" TargetMode="External"/><Relationship Id="rId28" Type="http://schemas.openxmlformats.org/officeDocument/2006/relationships/hyperlink" Target="http://www.timesonline.co.uk/tol/news/science/article6973994.ece" TargetMode="External"/><Relationship Id="rId36" Type="http://schemas.openxmlformats.org/officeDocument/2006/relationships/hyperlink" Target="http://www.logosjournal.com/cetaceans-bare-life-nonhuman-others.php" TargetMode="External"/><Relationship Id="rId49" Type="http://schemas.openxmlformats.org/officeDocument/2006/relationships/hyperlink" Target="http://animals.jrank.org/pages/1644/Sea-Squirts-Ascidiacea-BEHAVIOR-REPRODUCTION.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ournalforcriticalanimalstudies.wordpress.com/editorial-team/vts@stanford.edu" TargetMode="External"/><Relationship Id="rId31" Type="http://schemas.openxmlformats.org/officeDocument/2006/relationships/hyperlink" Target="http://www.freerepublic.com/focus/f-news/1469098/posts" TargetMode="External"/><Relationship Id="rId44" Type="http://schemas.openxmlformats.org/officeDocument/2006/relationships/hyperlink" Target="http://www.thefreelibrary.com/Dolphin+meat+widely+available+in+Peruvian+stores+Despite+protected...-a0102897976" TargetMode="External"/><Relationship Id="rId52" Type="http://schemas.openxmlformats.org/officeDocument/2006/relationships/hyperlink" Target="http://www.nytimes.com/2005/01/09/magazine/09TOXIC.html?pagewanted=1&amp;_r=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rpallotta@gmail.com" TargetMode="External"/><Relationship Id="rId22" Type="http://schemas.openxmlformats.org/officeDocument/2006/relationships/hyperlink" Target="mailto:matthew.cole@vegatopia.org" TargetMode="External"/><Relationship Id="rId27" Type="http://schemas.openxmlformats.org/officeDocument/2006/relationships/hyperlink" Target="http://en.wikipedia.org/wiki/Animal_rights" TargetMode="External"/><Relationship Id="rId30" Type="http://schemas.openxmlformats.org/officeDocument/2006/relationships/hyperlink" Target="http://en.wikipedia.org/wiki/Hermaphrodite" TargetMode="External"/><Relationship Id="rId35" Type="http://schemas.openxmlformats.org/officeDocument/2006/relationships/hyperlink" Target="http://news.bbc.co.uk/2/hi/science/nature/345734.stm.%2017%20May%201999" TargetMode="External"/><Relationship Id="rId43" Type="http://schemas.openxmlformats.org/officeDocument/2006/relationships/hyperlink" Target="http://www.thefreelibrary.com/Dolphin+meat+widely+available+in+Peruvian+stores+Despite+protected...-a0102897976" TargetMode="External"/><Relationship Id="rId48" Type="http://schemas.openxmlformats.org/officeDocument/2006/relationships/hyperlink" Target="http://www.mitchellspublications.com/guides/shells/articles/0084/" TargetMode="External"/><Relationship Id="rId56" Type="http://schemas.openxmlformats.org/officeDocument/2006/relationships/header" Target="header7.xml"/><Relationship Id="rId8" Type="http://schemas.openxmlformats.org/officeDocument/2006/relationships/image" Target="http://www.criticalanimalstudies.org/JCAS/images/header2.jpg" TargetMode="External"/><Relationship Id="rId51" Type="http://schemas.openxmlformats.org/officeDocument/2006/relationships/hyperlink" Target="http://www.springerlink.com/content/0923-9545/" TargetMode="External"/><Relationship Id="rId3" Type="http://schemas.openxmlformats.org/officeDocument/2006/relationships/settings" Target="settings.xml"/><Relationship Id="rId12" Type="http://schemas.openxmlformats.org/officeDocument/2006/relationships/hyperlink" Target="https://exchange.shu.ac.uk/owa/redir.aspx?C=8988955a21124fd0b957b11ae06212c1&amp;URL=mailto%3achloe3%40ualberta.ca" TargetMode="External"/><Relationship Id="rId17" Type="http://schemas.openxmlformats.org/officeDocument/2006/relationships/hyperlink" Target="mailto:herapellet@aol.com" TargetMode="External"/><Relationship Id="rId25" Type="http://schemas.openxmlformats.org/officeDocument/2006/relationships/header" Target="header4.xml"/><Relationship Id="rId33" Type="http://schemas.openxmlformats.org/officeDocument/2006/relationships/hyperlink" Target="http://www.theglobeandmail.com/life/article922465.ece" TargetMode="External"/><Relationship Id="rId38" Type="http://schemas.openxmlformats.org/officeDocument/2006/relationships/hyperlink" Target="http://www.news.harvard.edu/gazette/2002/05.23/09-seasquirts.html" TargetMode="External"/><Relationship Id="rId46" Type="http://schemas.openxmlformats.org/officeDocument/2006/relationships/hyperlink" Target="http://cat.inist.fr/?aModele=afficheN&amp;cpsidt=18433177" TargetMode="External"/><Relationship Id="rId59" Type="http://schemas.openxmlformats.org/officeDocument/2006/relationships/hyperlink" Target="http://www.yorku.ca/public/public/backissu/v21_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pollockgf@gmail.com" TargetMode="External"/><Relationship Id="rId1" Type="http://schemas.openxmlformats.org/officeDocument/2006/relationships/hyperlink" Target="mailto:mapple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70917</Words>
  <Characters>404233</Characters>
  <Application>Microsoft Office Word</Application>
  <DocSecurity>0</DocSecurity>
  <Lines>3368</Lines>
  <Paragraphs>948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474202</CharactersWithSpaces>
  <SharedDoc>false</SharedDoc>
  <HLinks>
    <vt:vector size="432" baseType="variant">
      <vt:variant>
        <vt:i4>4718646</vt:i4>
      </vt:variant>
      <vt:variant>
        <vt:i4>249</vt:i4>
      </vt:variant>
      <vt:variant>
        <vt:i4>0</vt:i4>
      </vt:variant>
      <vt:variant>
        <vt:i4>5</vt:i4>
      </vt:variant>
      <vt:variant>
        <vt:lpwstr>http://www.yorku.ca/public/public/backissu/v21_1.html</vt:lpwstr>
      </vt:variant>
      <vt:variant>
        <vt:lpwstr/>
      </vt:variant>
      <vt:variant>
        <vt:i4>8192037</vt:i4>
      </vt:variant>
      <vt:variant>
        <vt:i4>246</vt:i4>
      </vt:variant>
      <vt:variant>
        <vt:i4>0</vt:i4>
      </vt:variant>
      <vt:variant>
        <vt:i4>5</vt:i4>
      </vt:variant>
      <vt:variant>
        <vt:lpwstr>http://en.wikipedia.org/wiki/Ascidiacea</vt:lpwstr>
      </vt:variant>
      <vt:variant>
        <vt:lpwstr/>
      </vt:variant>
      <vt:variant>
        <vt:i4>8257585</vt:i4>
      </vt:variant>
      <vt:variant>
        <vt:i4>243</vt:i4>
      </vt:variant>
      <vt:variant>
        <vt:i4>0</vt:i4>
      </vt:variant>
      <vt:variant>
        <vt:i4>5</vt:i4>
      </vt:variant>
      <vt:variant>
        <vt:lpwstr>http://www.cbsnews.com/stories/2010/04/16/eveningnews/main6403983.shtml. 16 April 2010</vt:lpwstr>
      </vt:variant>
      <vt:variant>
        <vt:lpwstr/>
      </vt:variant>
      <vt:variant>
        <vt:i4>7143506</vt:i4>
      </vt:variant>
      <vt:variant>
        <vt:i4>240</vt:i4>
      </vt:variant>
      <vt:variant>
        <vt:i4>0</vt:i4>
      </vt:variant>
      <vt:variant>
        <vt:i4>5</vt:i4>
      </vt:variant>
      <vt:variant>
        <vt:lpwstr>http://www.nytimes.com/2005/01/09/magazine/09TOXIC.html?pagewanted=1&amp;_r=1</vt:lpwstr>
      </vt:variant>
      <vt:variant>
        <vt:lpwstr/>
      </vt:variant>
      <vt:variant>
        <vt:i4>4128867</vt:i4>
      </vt:variant>
      <vt:variant>
        <vt:i4>237</vt:i4>
      </vt:variant>
      <vt:variant>
        <vt:i4>0</vt:i4>
      </vt:variant>
      <vt:variant>
        <vt:i4>5</vt:i4>
      </vt:variant>
      <vt:variant>
        <vt:lpwstr>http://www.springerlink.com/content/0923-9545/</vt:lpwstr>
      </vt:variant>
      <vt:variant>
        <vt:lpwstr/>
      </vt:variant>
      <vt:variant>
        <vt:i4>2359394</vt:i4>
      </vt:variant>
      <vt:variant>
        <vt:i4>234</vt:i4>
      </vt:variant>
      <vt:variant>
        <vt:i4>0</vt:i4>
      </vt:variant>
      <vt:variant>
        <vt:i4>5</vt:i4>
      </vt:variant>
      <vt:variant>
        <vt:lpwstr>http://www.springerlink.com/content/978-1-4020-6306-0/</vt:lpwstr>
      </vt:variant>
      <vt:variant>
        <vt:lpwstr/>
      </vt:variant>
      <vt:variant>
        <vt:i4>4390930</vt:i4>
      </vt:variant>
      <vt:variant>
        <vt:i4>231</vt:i4>
      </vt:variant>
      <vt:variant>
        <vt:i4>0</vt:i4>
      </vt:variant>
      <vt:variant>
        <vt:i4>5</vt:i4>
      </vt:variant>
      <vt:variant>
        <vt:lpwstr>http://animals.jrank.org/pages/1644/Sea-Squirts-Ascidiacea-BEHAVIOR-REPRODUCTION.html</vt:lpwstr>
      </vt:variant>
      <vt:variant>
        <vt:lpwstr/>
      </vt:variant>
      <vt:variant>
        <vt:i4>4784152</vt:i4>
      </vt:variant>
      <vt:variant>
        <vt:i4>228</vt:i4>
      </vt:variant>
      <vt:variant>
        <vt:i4>0</vt:i4>
      </vt:variant>
      <vt:variant>
        <vt:i4>5</vt:i4>
      </vt:variant>
      <vt:variant>
        <vt:lpwstr>http://www.nbc-2.com/story/12565734/sea-pork-puzzles-some-beach-goers?redirected=true</vt:lpwstr>
      </vt:variant>
      <vt:variant>
        <vt:lpwstr/>
      </vt:variant>
      <vt:variant>
        <vt:i4>5373979</vt:i4>
      </vt:variant>
      <vt:variant>
        <vt:i4>225</vt:i4>
      </vt:variant>
      <vt:variant>
        <vt:i4>0</vt:i4>
      </vt:variant>
      <vt:variant>
        <vt:i4>5</vt:i4>
      </vt:variant>
      <vt:variant>
        <vt:lpwstr>http://www.mitchellspublications.com/guides/shells/articles/0084/</vt:lpwstr>
      </vt:variant>
      <vt:variant>
        <vt:lpwstr/>
      </vt:variant>
      <vt:variant>
        <vt:i4>6815843</vt:i4>
      </vt:variant>
      <vt:variant>
        <vt:i4>222</vt:i4>
      </vt:variant>
      <vt:variant>
        <vt:i4>0</vt:i4>
      </vt:variant>
      <vt:variant>
        <vt:i4>5</vt:i4>
      </vt:variant>
      <vt:variant>
        <vt:lpwstr>http://www.3news.co.nz/Sea-squirts-A-biosecurity challenge/tabid/1360/articleID/170506/Default.aspx</vt:lpwstr>
      </vt:variant>
      <vt:variant>
        <vt:lpwstr/>
      </vt:variant>
      <vt:variant>
        <vt:i4>4456474</vt:i4>
      </vt:variant>
      <vt:variant>
        <vt:i4>219</vt:i4>
      </vt:variant>
      <vt:variant>
        <vt:i4>0</vt:i4>
      </vt:variant>
      <vt:variant>
        <vt:i4>5</vt:i4>
      </vt:variant>
      <vt:variant>
        <vt:lpwstr>http://cat.inist.fr/?aModele=afficheN&amp;cpsidt=18433177</vt:lpwstr>
      </vt:variant>
      <vt:variant>
        <vt:lpwstr/>
      </vt:variant>
      <vt:variant>
        <vt:i4>2293795</vt:i4>
      </vt:variant>
      <vt:variant>
        <vt:i4>216</vt:i4>
      </vt:variant>
      <vt:variant>
        <vt:i4>0</vt:i4>
      </vt:variant>
      <vt:variant>
        <vt:i4>5</vt:i4>
      </vt:variant>
      <vt:variant>
        <vt:lpwstr>https://www.qualitymarine.com/News/Species-Spotlight/Bizarre-and-Surprising,-Sea-Squirt-Care-is-a-New-Type-of-Challenge.-%2803/31/10%29</vt:lpwstr>
      </vt:variant>
      <vt:variant>
        <vt:lpwstr/>
      </vt:variant>
      <vt:variant>
        <vt:i4>6553659</vt:i4>
      </vt:variant>
      <vt:variant>
        <vt:i4>213</vt:i4>
      </vt:variant>
      <vt:variant>
        <vt:i4>0</vt:i4>
      </vt:variant>
      <vt:variant>
        <vt:i4>5</vt:i4>
      </vt:variant>
      <vt:variant>
        <vt:lpwstr>http://www.thefreelibrary.com/Dolphin+meat+widely+available+in+Peruvian+stores+Despite+protected...-a0102897976</vt:lpwstr>
      </vt:variant>
      <vt:variant>
        <vt:lpwstr/>
      </vt:variant>
      <vt:variant>
        <vt:i4>6553659</vt:i4>
      </vt:variant>
      <vt:variant>
        <vt:i4>210</vt:i4>
      </vt:variant>
      <vt:variant>
        <vt:i4>0</vt:i4>
      </vt:variant>
      <vt:variant>
        <vt:i4>5</vt:i4>
      </vt:variant>
      <vt:variant>
        <vt:lpwstr>http://www.thefreelibrary.com/Dolphin+meat+widely+available+in+Peruvian+stores+Despite+protected...-a0102897976</vt:lpwstr>
      </vt:variant>
      <vt:variant>
        <vt:lpwstr/>
      </vt:variant>
      <vt:variant>
        <vt:i4>1966136</vt:i4>
      </vt:variant>
      <vt:variant>
        <vt:i4>207</vt:i4>
      </vt:variant>
      <vt:variant>
        <vt:i4>0</vt:i4>
      </vt:variant>
      <vt:variant>
        <vt:i4>5</vt:i4>
      </vt:variant>
      <vt:variant>
        <vt:lpwstr>http://www.tarasgrescoe.com/op-eds_articles.html</vt:lpwstr>
      </vt:variant>
      <vt:variant>
        <vt:lpwstr>invasive</vt:lpwstr>
      </vt:variant>
      <vt:variant>
        <vt:i4>2818144</vt:i4>
      </vt:variant>
      <vt:variant>
        <vt:i4>204</vt:i4>
      </vt:variant>
      <vt:variant>
        <vt:i4>0</vt:i4>
      </vt:variant>
      <vt:variant>
        <vt:i4>5</vt:i4>
      </vt:variant>
      <vt:variant>
        <vt:lpwstr>http://www.greatapeproject.org/</vt:lpwstr>
      </vt:variant>
      <vt:variant>
        <vt:lpwstr/>
      </vt:variant>
      <vt:variant>
        <vt:i4>983135</vt:i4>
      </vt:variant>
      <vt:variant>
        <vt:i4>201</vt:i4>
      </vt:variant>
      <vt:variant>
        <vt:i4>0</vt:i4>
      </vt:variant>
      <vt:variant>
        <vt:i4>5</vt:i4>
      </vt:variant>
      <vt:variant>
        <vt:lpwstr>http://redtideflorida.org/pages/what-is-red-tide</vt:lpwstr>
      </vt:variant>
      <vt:variant>
        <vt:lpwstr/>
      </vt:variant>
      <vt:variant>
        <vt:i4>2752557</vt:i4>
      </vt:variant>
      <vt:variant>
        <vt:i4>198</vt:i4>
      </vt:variant>
      <vt:variant>
        <vt:i4>0</vt:i4>
      </vt:variant>
      <vt:variant>
        <vt:i4>5</vt:i4>
      </vt:variant>
      <vt:variant>
        <vt:lpwstr>http://www.chem.unep.ch/POPs/POPs_Inc/press_releases/ottawa-1.htm. 5 July 1998</vt:lpwstr>
      </vt:variant>
      <vt:variant>
        <vt:lpwstr/>
      </vt:variant>
      <vt:variant>
        <vt:i4>1441885</vt:i4>
      </vt:variant>
      <vt:variant>
        <vt:i4>195</vt:i4>
      </vt:variant>
      <vt:variant>
        <vt:i4>0</vt:i4>
      </vt:variant>
      <vt:variant>
        <vt:i4>5</vt:i4>
      </vt:variant>
      <vt:variant>
        <vt:lpwstr>http://www.news.harvard.edu/gazette/2002/05.23/09-seasquirts.html</vt:lpwstr>
      </vt:variant>
      <vt:variant>
        <vt:lpwstr/>
      </vt:variant>
      <vt:variant>
        <vt:i4>2228323</vt:i4>
      </vt:variant>
      <vt:variant>
        <vt:i4>192</vt:i4>
      </vt:variant>
      <vt:variant>
        <vt:i4>0</vt:i4>
      </vt:variant>
      <vt:variant>
        <vt:i4>5</vt:i4>
      </vt:variant>
      <vt:variant>
        <vt:lpwstr>http://www.news.harvard.edu/gazette/2000/05.04/cancersquirt.html. May 2000</vt:lpwstr>
      </vt:variant>
      <vt:variant>
        <vt:lpwstr/>
      </vt:variant>
      <vt:variant>
        <vt:i4>7798847</vt:i4>
      </vt:variant>
      <vt:variant>
        <vt:i4>189</vt:i4>
      </vt:variant>
      <vt:variant>
        <vt:i4>0</vt:i4>
      </vt:variant>
      <vt:variant>
        <vt:i4>5</vt:i4>
      </vt:variant>
      <vt:variant>
        <vt:lpwstr>http://www.logosjournal.com/cetaceans-bare-life-nonhuman-others.php</vt:lpwstr>
      </vt:variant>
      <vt:variant>
        <vt:lpwstr/>
      </vt:variant>
      <vt:variant>
        <vt:i4>5701726</vt:i4>
      </vt:variant>
      <vt:variant>
        <vt:i4>186</vt:i4>
      </vt:variant>
      <vt:variant>
        <vt:i4>0</vt:i4>
      </vt:variant>
      <vt:variant>
        <vt:i4>5</vt:i4>
      </vt:variant>
      <vt:variant>
        <vt:lpwstr>http://news.bbc.co.uk/2/hi/science/nature/345734.stm. 17 May 1999</vt:lpwstr>
      </vt:variant>
      <vt:variant>
        <vt:lpwstr/>
      </vt:variant>
      <vt:variant>
        <vt:i4>1048664</vt:i4>
      </vt:variant>
      <vt:variant>
        <vt:i4>183</vt:i4>
      </vt:variant>
      <vt:variant>
        <vt:i4>0</vt:i4>
      </vt:variant>
      <vt:variant>
        <vt:i4>5</vt:i4>
      </vt:variant>
      <vt:variant>
        <vt:lpwstr>http://news.bbc.co.uk/2/hi/health/4529273.stm</vt:lpwstr>
      </vt:variant>
      <vt:variant>
        <vt:lpwstr/>
      </vt:variant>
      <vt:variant>
        <vt:i4>1048600</vt:i4>
      </vt:variant>
      <vt:variant>
        <vt:i4>180</vt:i4>
      </vt:variant>
      <vt:variant>
        <vt:i4>0</vt:i4>
      </vt:variant>
      <vt:variant>
        <vt:i4>5</vt:i4>
      </vt:variant>
      <vt:variant>
        <vt:lpwstr>http://www.theglobeandmail.com/life/article922465.ece</vt:lpwstr>
      </vt:variant>
      <vt:variant>
        <vt:lpwstr/>
      </vt:variant>
      <vt:variant>
        <vt:i4>4063344</vt:i4>
      </vt:variant>
      <vt:variant>
        <vt:i4>177</vt:i4>
      </vt:variant>
      <vt:variant>
        <vt:i4>0</vt:i4>
      </vt:variant>
      <vt:variant>
        <vt:i4>5</vt:i4>
      </vt:variant>
      <vt:variant>
        <vt:lpwstr>http://www.freerepublic.com/focus/f-news/1469098/posts</vt:lpwstr>
      </vt:variant>
      <vt:variant>
        <vt:lpwstr/>
      </vt:variant>
      <vt:variant>
        <vt:i4>4063344</vt:i4>
      </vt:variant>
      <vt:variant>
        <vt:i4>174</vt:i4>
      </vt:variant>
      <vt:variant>
        <vt:i4>0</vt:i4>
      </vt:variant>
      <vt:variant>
        <vt:i4>5</vt:i4>
      </vt:variant>
      <vt:variant>
        <vt:lpwstr>http://www.freerepublic.com/focus/f-news/1469098/posts</vt:lpwstr>
      </vt:variant>
      <vt:variant>
        <vt:lpwstr/>
      </vt:variant>
      <vt:variant>
        <vt:i4>7274543</vt:i4>
      </vt:variant>
      <vt:variant>
        <vt:i4>171</vt:i4>
      </vt:variant>
      <vt:variant>
        <vt:i4>0</vt:i4>
      </vt:variant>
      <vt:variant>
        <vt:i4>5</vt:i4>
      </vt:variant>
      <vt:variant>
        <vt:lpwstr>http://en.wikipedia.org/wiki/Hermaphrodite</vt:lpwstr>
      </vt:variant>
      <vt:variant>
        <vt:lpwstr/>
      </vt:variant>
      <vt:variant>
        <vt:i4>6488108</vt:i4>
      </vt:variant>
      <vt:variant>
        <vt:i4>168</vt:i4>
      </vt:variant>
      <vt:variant>
        <vt:i4>0</vt:i4>
      </vt:variant>
      <vt:variant>
        <vt:i4>5</vt:i4>
      </vt:variant>
      <vt:variant>
        <vt:lpwstr>http://en.wikipedia.org/wiki/Pollutants</vt:lpwstr>
      </vt:variant>
      <vt:variant>
        <vt:lpwstr/>
      </vt:variant>
      <vt:variant>
        <vt:i4>1703936</vt:i4>
      </vt:variant>
      <vt:variant>
        <vt:i4>165</vt:i4>
      </vt:variant>
      <vt:variant>
        <vt:i4>0</vt:i4>
      </vt:variant>
      <vt:variant>
        <vt:i4>5</vt:i4>
      </vt:variant>
      <vt:variant>
        <vt:lpwstr>http://www.timesonline.co.uk/tol/news/science/article6973994.ece</vt:lpwstr>
      </vt:variant>
      <vt:variant>
        <vt:lpwstr/>
      </vt:variant>
      <vt:variant>
        <vt:i4>5963835</vt:i4>
      </vt:variant>
      <vt:variant>
        <vt:i4>162</vt:i4>
      </vt:variant>
      <vt:variant>
        <vt:i4>0</vt:i4>
      </vt:variant>
      <vt:variant>
        <vt:i4>5</vt:i4>
      </vt:variant>
      <vt:variant>
        <vt:lpwstr>http://en.wikipedia.org/wiki/Animal_rights</vt:lpwstr>
      </vt:variant>
      <vt:variant>
        <vt:lpwstr/>
      </vt:variant>
      <vt:variant>
        <vt:i4>1769526</vt:i4>
      </vt:variant>
      <vt:variant>
        <vt:i4>155</vt:i4>
      </vt:variant>
      <vt:variant>
        <vt:i4>0</vt:i4>
      </vt:variant>
      <vt:variant>
        <vt:i4>5</vt:i4>
      </vt:variant>
      <vt:variant>
        <vt:lpwstr/>
      </vt:variant>
      <vt:variant>
        <vt:lpwstr>_Toc292202654</vt:lpwstr>
      </vt:variant>
      <vt:variant>
        <vt:i4>1769526</vt:i4>
      </vt:variant>
      <vt:variant>
        <vt:i4>149</vt:i4>
      </vt:variant>
      <vt:variant>
        <vt:i4>0</vt:i4>
      </vt:variant>
      <vt:variant>
        <vt:i4>5</vt:i4>
      </vt:variant>
      <vt:variant>
        <vt:lpwstr/>
      </vt:variant>
      <vt:variant>
        <vt:lpwstr>_Toc292202650</vt:lpwstr>
      </vt:variant>
      <vt:variant>
        <vt:i4>1703990</vt:i4>
      </vt:variant>
      <vt:variant>
        <vt:i4>146</vt:i4>
      </vt:variant>
      <vt:variant>
        <vt:i4>0</vt:i4>
      </vt:variant>
      <vt:variant>
        <vt:i4>5</vt:i4>
      </vt:variant>
      <vt:variant>
        <vt:lpwstr/>
      </vt:variant>
      <vt:variant>
        <vt:lpwstr>_Toc292202648</vt:lpwstr>
      </vt:variant>
      <vt:variant>
        <vt:i4>1703990</vt:i4>
      </vt:variant>
      <vt:variant>
        <vt:i4>140</vt:i4>
      </vt:variant>
      <vt:variant>
        <vt:i4>0</vt:i4>
      </vt:variant>
      <vt:variant>
        <vt:i4>5</vt:i4>
      </vt:variant>
      <vt:variant>
        <vt:lpwstr/>
      </vt:variant>
      <vt:variant>
        <vt:lpwstr>_Toc292202647</vt:lpwstr>
      </vt:variant>
      <vt:variant>
        <vt:i4>1703990</vt:i4>
      </vt:variant>
      <vt:variant>
        <vt:i4>137</vt:i4>
      </vt:variant>
      <vt:variant>
        <vt:i4>0</vt:i4>
      </vt:variant>
      <vt:variant>
        <vt:i4>5</vt:i4>
      </vt:variant>
      <vt:variant>
        <vt:lpwstr/>
      </vt:variant>
      <vt:variant>
        <vt:lpwstr>_Toc292202645</vt:lpwstr>
      </vt:variant>
      <vt:variant>
        <vt:i4>1703990</vt:i4>
      </vt:variant>
      <vt:variant>
        <vt:i4>134</vt:i4>
      </vt:variant>
      <vt:variant>
        <vt:i4>0</vt:i4>
      </vt:variant>
      <vt:variant>
        <vt:i4>5</vt:i4>
      </vt:variant>
      <vt:variant>
        <vt:lpwstr/>
      </vt:variant>
      <vt:variant>
        <vt:lpwstr>_Toc292202644</vt:lpwstr>
      </vt:variant>
      <vt:variant>
        <vt:i4>1703990</vt:i4>
      </vt:variant>
      <vt:variant>
        <vt:i4>128</vt:i4>
      </vt:variant>
      <vt:variant>
        <vt:i4>0</vt:i4>
      </vt:variant>
      <vt:variant>
        <vt:i4>5</vt:i4>
      </vt:variant>
      <vt:variant>
        <vt:lpwstr/>
      </vt:variant>
      <vt:variant>
        <vt:lpwstr>_Toc292202643</vt:lpwstr>
      </vt:variant>
      <vt:variant>
        <vt:i4>1703990</vt:i4>
      </vt:variant>
      <vt:variant>
        <vt:i4>125</vt:i4>
      </vt:variant>
      <vt:variant>
        <vt:i4>0</vt:i4>
      </vt:variant>
      <vt:variant>
        <vt:i4>5</vt:i4>
      </vt:variant>
      <vt:variant>
        <vt:lpwstr/>
      </vt:variant>
      <vt:variant>
        <vt:lpwstr>_Toc292202642</vt:lpwstr>
      </vt:variant>
      <vt:variant>
        <vt:i4>1703990</vt:i4>
      </vt:variant>
      <vt:variant>
        <vt:i4>119</vt:i4>
      </vt:variant>
      <vt:variant>
        <vt:i4>0</vt:i4>
      </vt:variant>
      <vt:variant>
        <vt:i4>5</vt:i4>
      </vt:variant>
      <vt:variant>
        <vt:lpwstr/>
      </vt:variant>
      <vt:variant>
        <vt:lpwstr>_Toc292202641</vt:lpwstr>
      </vt:variant>
      <vt:variant>
        <vt:i4>1703990</vt:i4>
      </vt:variant>
      <vt:variant>
        <vt:i4>116</vt:i4>
      </vt:variant>
      <vt:variant>
        <vt:i4>0</vt:i4>
      </vt:variant>
      <vt:variant>
        <vt:i4>5</vt:i4>
      </vt:variant>
      <vt:variant>
        <vt:lpwstr/>
      </vt:variant>
      <vt:variant>
        <vt:lpwstr>_Toc292202640</vt:lpwstr>
      </vt:variant>
      <vt:variant>
        <vt:i4>1900598</vt:i4>
      </vt:variant>
      <vt:variant>
        <vt:i4>110</vt:i4>
      </vt:variant>
      <vt:variant>
        <vt:i4>0</vt:i4>
      </vt:variant>
      <vt:variant>
        <vt:i4>5</vt:i4>
      </vt:variant>
      <vt:variant>
        <vt:lpwstr/>
      </vt:variant>
      <vt:variant>
        <vt:lpwstr>_Toc292202639</vt:lpwstr>
      </vt:variant>
      <vt:variant>
        <vt:i4>1900598</vt:i4>
      </vt:variant>
      <vt:variant>
        <vt:i4>107</vt:i4>
      </vt:variant>
      <vt:variant>
        <vt:i4>0</vt:i4>
      </vt:variant>
      <vt:variant>
        <vt:i4>5</vt:i4>
      </vt:variant>
      <vt:variant>
        <vt:lpwstr/>
      </vt:variant>
      <vt:variant>
        <vt:lpwstr>_Toc292202638</vt:lpwstr>
      </vt:variant>
      <vt:variant>
        <vt:i4>1900598</vt:i4>
      </vt:variant>
      <vt:variant>
        <vt:i4>101</vt:i4>
      </vt:variant>
      <vt:variant>
        <vt:i4>0</vt:i4>
      </vt:variant>
      <vt:variant>
        <vt:i4>5</vt:i4>
      </vt:variant>
      <vt:variant>
        <vt:lpwstr/>
      </vt:variant>
      <vt:variant>
        <vt:lpwstr>_Toc292202637</vt:lpwstr>
      </vt:variant>
      <vt:variant>
        <vt:i4>1900598</vt:i4>
      </vt:variant>
      <vt:variant>
        <vt:i4>98</vt:i4>
      </vt:variant>
      <vt:variant>
        <vt:i4>0</vt:i4>
      </vt:variant>
      <vt:variant>
        <vt:i4>5</vt:i4>
      </vt:variant>
      <vt:variant>
        <vt:lpwstr/>
      </vt:variant>
      <vt:variant>
        <vt:lpwstr>_Toc292202636</vt:lpwstr>
      </vt:variant>
      <vt:variant>
        <vt:i4>1900598</vt:i4>
      </vt:variant>
      <vt:variant>
        <vt:i4>92</vt:i4>
      </vt:variant>
      <vt:variant>
        <vt:i4>0</vt:i4>
      </vt:variant>
      <vt:variant>
        <vt:i4>5</vt:i4>
      </vt:variant>
      <vt:variant>
        <vt:lpwstr/>
      </vt:variant>
      <vt:variant>
        <vt:lpwstr>_Toc292202635</vt:lpwstr>
      </vt:variant>
      <vt:variant>
        <vt:i4>1900598</vt:i4>
      </vt:variant>
      <vt:variant>
        <vt:i4>89</vt:i4>
      </vt:variant>
      <vt:variant>
        <vt:i4>0</vt:i4>
      </vt:variant>
      <vt:variant>
        <vt:i4>5</vt:i4>
      </vt:variant>
      <vt:variant>
        <vt:lpwstr/>
      </vt:variant>
      <vt:variant>
        <vt:lpwstr>_Toc292202634</vt:lpwstr>
      </vt:variant>
      <vt:variant>
        <vt:i4>1900598</vt:i4>
      </vt:variant>
      <vt:variant>
        <vt:i4>86</vt:i4>
      </vt:variant>
      <vt:variant>
        <vt:i4>0</vt:i4>
      </vt:variant>
      <vt:variant>
        <vt:i4>5</vt:i4>
      </vt:variant>
      <vt:variant>
        <vt:lpwstr/>
      </vt:variant>
      <vt:variant>
        <vt:lpwstr>_Toc292202633</vt:lpwstr>
      </vt:variant>
      <vt:variant>
        <vt:i4>1900598</vt:i4>
      </vt:variant>
      <vt:variant>
        <vt:i4>80</vt:i4>
      </vt:variant>
      <vt:variant>
        <vt:i4>0</vt:i4>
      </vt:variant>
      <vt:variant>
        <vt:i4>5</vt:i4>
      </vt:variant>
      <vt:variant>
        <vt:lpwstr/>
      </vt:variant>
      <vt:variant>
        <vt:lpwstr>_Toc292202632</vt:lpwstr>
      </vt:variant>
      <vt:variant>
        <vt:i4>1900598</vt:i4>
      </vt:variant>
      <vt:variant>
        <vt:i4>77</vt:i4>
      </vt:variant>
      <vt:variant>
        <vt:i4>0</vt:i4>
      </vt:variant>
      <vt:variant>
        <vt:i4>5</vt:i4>
      </vt:variant>
      <vt:variant>
        <vt:lpwstr/>
      </vt:variant>
      <vt:variant>
        <vt:lpwstr>_Toc292202631</vt:lpwstr>
      </vt:variant>
      <vt:variant>
        <vt:i4>1900598</vt:i4>
      </vt:variant>
      <vt:variant>
        <vt:i4>71</vt:i4>
      </vt:variant>
      <vt:variant>
        <vt:i4>0</vt:i4>
      </vt:variant>
      <vt:variant>
        <vt:i4>5</vt:i4>
      </vt:variant>
      <vt:variant>
        <vt:lpwstr/>
      </vt:variant>
      <vt:variant>
        <vt:lpwstr>_Toc292202630</vt:lpwstr>
      </vt:variant>
      <vt:variant>
        <vt:i4>1835062</vt:i4>
      </vt:variant>
      <vt:variant>
        <vt:i4>68</vt:i4>
      </vt:variant>
      <vt:variant>
        <vt:i4>0</vt:i4>
      </vt:variant>
      <vt:variant>
        <vt:i4>5</vt:i4>
      </vt:variant>
      <vt:variant>
        <vt:lpwstr/>
      </vt:variant>
      <vt:variant>
        <vt:lpwstr>_Toc292202629</vt:lpwstr>
      </vt:variant>
      <vt:variant>
        <vt:i4>1835062</vt:i4>
      </vt:variant>
      <vt:variant>
        <vt:i4>62</vt:i4>
      </vt:variant>
      <vt:variant>
        <vt:i4>0</vt:i4>
      </vt:variant>
      <vt:variant>
        <vt:i4>5</vt:i4>
      </vt:variant>
      <vt:variant>
        <vt:lpwstr/>
      </vt:variant>
      <vt:variant>
        <vt:lpwstr>_Toc292202628</vt:lpwstr>
      </vt:variant>
      <vt:variant>
        <vt:i4>1835062</vt:i4>
      </vt:variant>
      <vt:variant>
        <vt:i4>59</vt:i4>
      </vt:variant>
      <vt:variant>
        <vt:i4>0</vt:i4>
      </vt:variant>
      <vt:variant>
        <vt:i4>5</vt:i4>
      </vt:variant>
      <vt:variant>
        <vt:lpwstr/>
      </vt:variant>
      <vt:variant>
        <vt:lpwstr>_Toc292202627</vt:lpwstr>
      </vt:variant>
      <vt:variant>
        <vt:i4>1835062</vt:i4>
      </vt:variant>
      <vt:variant>
        <vt:i4>53</vt:i4>
      </vt:variant>
      <vt:variant>
        <vt:i4>0</vt:i4>
      </vt:variant>
      <vt:variant>
        <vt:i4>5</vt:i4>
      </vt:variant>
      <vt:variant>
        <vt:lpwstr/>
      </vt:variant>
      <vt:variant>
        <vt:lpwstr>_Toc292202626</vt:lpwstr>
      </vt:variant>
      <vt:variant>
        <vt:i4>1835062</vt:i4>
      </vt:variant>
      <vt:variant>
        <vt:i4>50</vt:i4>
      </vt:variant>
      <vt:variant>
        <vt:i4>0</vt:i4>
      </vt:variant>
      <vt:variant>
        <vt:i4>5</vt:i4>
      </vt:variant>
      <vt:variant>
        <vt:lpwstr/>
      </vt:variant>
      <vt:variant>
        <vt:lpwstr>_Toc292202625</vt:lpwstr>
      </vt:variant>
      <vt:variant>
        <vt:i4>1835062</vt:i4>
      </vt:variant>
      <vt:variant>
        <vt:i4>44</vt:i4>
      </vt:variant>
      <vt:variant>
        <vt:i4>0</vt:i4>
      </vt:variant>
      <vt:variant>
        <vt:i4>5</vt:i4>
      </vt:variant>
      <vt:variant>
        <vt:lpwstr/>
      </vt:variant>
      <vt:variant>
        <vt:lpwstr>_Toc292202624</vt:lpwstr>
      </vt:variant>
      <vt:variant>
        <vt:i4>1835062</vt:i4>
      </vt:variant>
      <vt:variant>
        <vt:i4>38</vt:i4>
      </vt:variant>
      <vt:variant>
        <vt:i4>0</vt:i4>
      </vt:variant>
      <vt:variant>
        <vt:i4>5</vt:i4>
      </vt:variant>
      <vt:variant>
        <vt:lpwstr/>
      </vt:variant>
      <vt:variant>
        <vt:lpwstr>_Toc292202622</vt:lpwstr>
      </vt:variant>
      <vt:variant>
        <vt:i4>131119</vt:i4>
      </vt:variant>
      <vt:variant>
        <vt:i4>33</vt:i4>
      </vt:variant>
      <vt:variant>
        <vt:i4>0</vt:i4>
      </vt:variant>
      <vt:variant>
        <vt:i4>5</vt:i4>
      </vt:variant>
      <vt:variant>
        <vt:lpwstr>http://www.criticalanimalstudies.org/?page_id=393</vt:lpwstr>
      </vt:variant>
      <vt:variant>
        <vt:lpwstr/>
      </vt:variant>
      <vt:variant>
        <vt:i4>7667717</vt:i4>
      </vt:variant>
      <vt:variant>
        <vt:i4>30</vt:i4>
      </vt:variant>
      <vt:variant>
        <vt:i4>0</vt:i4>
      </vt:variant>
      <vt:variant>
        <vt:i4>5</vt:i4>
      </vt:variant>
      <vt:variant>
        <vt:lpwstr>mailto:matthew.cole@vegatopia.org</vt:lpwstr>
      </vt:variant>
      <vt:variant>
        <vt:lpwstr/>
      </vt:variant>
      <vt:variant>
        <vt:i4>3604545</vt:i4>
      </vt:variant>
      <vt:variant>
        <vt:i4>27</vt:i4>
      </vt:variant>
      <vt:variant>
        <vt:i4>0</vt:i4>
      </vt:variant>
      <vt:variant>
        <vt:i4>5</vt:i4>
      </vt:variant>
      <vt:variant>
        <vt:lpwstr>mailto:adam.weitzenfeld@gmail.com</vt:lpwstr>
      </vt:variant>
      <vt:variant>
        <vt:lpwstr/>
      </vt:variant>
      <vt:variant>
        <vt:i4>59</vt:i4>
      </vt:variant>
      <vt:variant>
        <vt:i4>24</vt:i4>
      </vt:variant>
      <vt:variant>
        <vt:i4>0</vt:i4>
      </vt:variant>
      <vt:variant>
        <vt:i4>5</vt:i4>
      </vt:variant>
      <vt:variant>
        <vt:lpwstr>mailto:lauraashields@hotmail.com</vt:lpwstr>
      </vt:variant>
      <vt:variant>
        <vt:lpwstr/>
      </vt:variant>
      <vt:variant>
        <vt:i4>2752599</vt:i4>
      </vt:variant>
      <vt:variant>
        <vt:i4>21</vt:i4>
      </vt:variant>
      <vt:variant>
        <vt:i4>0</vt:i4>
      </vt:variant>
      <vt:variant>
        <vt:i4>5</vt:i4>
      </vt:variant>
      <vt:variant>
        <vt:lpwstr>http://journalforcriticalanimalstudies.wordpress.com/editorial-team/vts@stanford.edu</vt:lpwstr>
      </vt:variant>
      <vt:variant>
        <vt:lpwstr/>
      </vt:variant>
      <vt:variant>
        <vt:i4>2686993</vt:i4>
      </vt:variant>
      <vt:variant>
        <vt:i4>18</vt:i4>
      </vt:variant>
      <vt:variant>
        <vt:i4>0</vt:i4>
      </vt:variant>
      <vt:variant>
        <vt:i4>5</vt:i4>
      </vt:variant>
      <vt:variant>
        <vt:lpwstr>mailto:r.twine@lancaster.ac.uk</vt:lpwstr>
      </vt:variant>
      <vt:variant>
        <vt:lpwstr/>
      </vt:variant>
      <vt:variant>
        <vt:i4>7274589</vt:i4>
      </vt:variant>
      <vt:variant>
        <vt:i4>15</vt:i4>
      </vt:variant>
      <vt:variant>
        <vt:i4>0</vt:i4>
      </vt:variant>
      <vt:variant>
        <vt:i4>5</vt:i4>
      </vt:variant>
      <vt:variant>
        <vt:lpwstr>mailto:herapellet@aol.com</vt:lpwstr>
      </vt:variant>
      <vt:variant>
        <vt:lpwstr/>
      </vt:variant>
      <vt:variant>
        <vt:i4>59</vt:i4>
      </vt:variant>
      <vt:variant>
        <vt:i4>12</vt:i4>
      </vt:variant>
      <vt:variant>
        <vt:i4>0</vt:i4>
      </vt:variant>
      <vt:variant>
        <vt:i4>5</vt:i4>
      </vt:variant>
      <vt:variant>
        <vt:lpwstr>mailto:lauraashields@hotmail.com</vt:lpwstr>
      </vt:variant>
      <vt:variant>
        <vt:lpwstr/>
      </vt:variant>
      <vt:variant>
        <vt:i4>7143514</vt:i4>
      </vt:variant>
      <vt:variant>
        <vt:i4>9</vt:i4>
      </vt:variant>
      <vt:variant>
        <vt:i4>0</vt:i4>
      </vt:variant>
      <vt:variant>
        <vt:i4>5</vt:i4>
      </vt:variant>
      <vt:variant>
        <vt:lpwstr>mailto:johnsonlin@mst.edu</vt:lpwstr>
      </vt:variant>
      <vt:variant>
        <vt:lpwstr/>
      </vt:variant>
      <vt:variant>
        <vt:i4>917545</vt:i4>
      </vt:variant>
      <vt:variant>
        <vt:i4>6</vt:i4>
      </vt:variant>
      <vt:variant>
        <vt:i4>0</vt:i4>
      </vt:variant>
      <vt:variant>
        <vt:i4>5</vt:i4>
      </vt:variant>
      <vt:variant>
        <vt:lpwstr>mailto:nrpallotta@gmail.com</vt:lpwstr>
      </vt:variant>
      <vt:variant>
        <vt:lpwstr/>
      </vt:variant>
      <vt:variant>
        <vt:i4>3080219</vt:i4>
      </vt:variant>
      <vt:variant>
        <vt:i4>3</vt:i4>
      </vt:variant>
      <vt:variant>
        <vt:i4>0</vt:i4>
      </vt:variant>
      <vt:variant>
        <vt:i4>5</vt:i4>
      </vt:variant>
      <vt:variant>
        <vt:lpwstr>mailto:Richard.White@shu.ac.uk</vt:lpwstr>
      </vt:variant>
      <vt:variant>
        <vt:lpwstr/>
      </vt:variant>
      <vt:variant>
        <vt:i4>6553709</vt:i4>
      </vt:variant>
      <vt:variant>
        <vt:i4>0</vt:i4>
      </vt:variant>
      <vt:variant>
        <vt:i4>0</vt:i4>
      </vt:variant>
      <vt:variant>
        <vt:i4>5</vt:i4>
      </vt:variant>
      <vt:variant>
        <vt:lpwstr>https://exchange.shu.ac.uk/owa/redir.aspx?C=8988955a21124fd0b957b11ae06212c1&amp;URL=mailto%3achloe3%40ualberta.ca</vt:lpwstr>
      </vt:variant>
      <vt:variant>
        <vt:lpwstr/>
      </vt:variant>
      <vt:variant>
        <vt:i4>7864392</vt:i4>
      </vt:variant>
      <vt:variant>
        <vt:i4>3</vt:i4>
      </vt:variant>
      <vt:variant>
        <vt:i4>0</vt:i4>
      </vt:variant>
      <vt:variant>
        <vt:i4>5</vt:i4>
      </vt:variant>
      <vt:variant>
        <vt:lpwstr>mailto:pollockgf@gmail.com</vt:lpwstr>
      </vt:variant>
      <vt:variant>
        <vt:lpwstr/>
      </vt:variant>
      <vt:variant>
        <vt:i4>7405654</vt:i4>
      </vt:variant>
      <vt:variant>
        <vt:i4>0</vt:i4>
      </vt:variant>
      <vt:variant>
        <vt:i4>0</vt:i4>
      </vt:variant>
      <vt:variant>
        <vt:i4>5</vt:i4>
      </vt:variant>
      <vt:variant>
        <vt:lpwstr>mailto:mapplega@gmail.com</vt:lpwstr>
      </vt:variant>
      <vt:variant>
        <vt:lpwstr/>
      </vt:variant>
      <vt:variant>
        <vt:i4>5898319</vt:i4>
      </vt:variant>
      <vt:variant>
        <vt:i4>-1</vt:i4>
      </vt:variant>
      <vt:variant>
        <vt:i4>1049</vt:i4>
      </vt:variant>
      <vt:variant>
        <vt:i4>1</vt:i4>
      </vt:variant>
      <vt:variant>
        <vt:lpwstr>http://www.criticalanimalstudies.org/JCAS/images/header2.jpg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White</dc:creator>
  <cp:lastModifiedBy>Anon</cp:lastModifiedBy>
  <cp:revision>2</cp:revision>
  <cp:lastPrinted>2011-05-06T07:40:00Z</cp:lastPrinted>
  <dcterms:created xsi:type="dcterms:W3CDTF">2011-05-08T08:29:00Z</dcterms:created>
  <dcterms:modified xsi:type="dcterms:W3CDTF">2011-05-08T08:29:00Z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-20121521</vt:i4>
  </property>
  <property fmtid="{D5CDD505-2E9C-101B-9397-08002B2CF9AE}" pid="3" name="_NewReviewCycle">
    <vt:lpwstr/>
  </property>
  <property fmtid="{D5CDD505-2E9C-101B-9397-08002B2CF9AE}" pid="4" name="_EmailSubject">
    <vt:lpwstr>JCAS Continental Philosophical Perspectives on Non-Human Animals: WORD Versions </vt:lpwstr>
  </property>
  <property fmtid="{D5CDD505-2E9C-101B-9397-08002B2CF9AE}" pid="5" name="_AuthorEmail">
    <vt:lpwstr>dsrw@exchange.shu.ac.uk</vt:lpwstr>
  </property>
  <property fmtid="{D5CDD505-2E9C-101B-9397-08002B2CF9AE}" pid="6" name="_AuthorEmailDisplayName">
    <vt:lpwstr>White, Richard</vt:lpwstr>
  </property>
  <property fmtid="{D5CDD505-2E9C-101B-9397-08002B2CF9AE}" pid="7" name="_PreviousAdHocReviewCycleID">
    <vt:i4>-647238224</vt:i4>
  </property>
  <property fmtid="{D5CDD505-2E9C-101B-9397-08002B2CF9AE}" pid="8" name="_ReviewingToolsShownOnce">
    <vt:lpwstr/>
  </property>
</Properties>
</file>